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tbl>
      <w:tblPr>
        <w:tblStyle w:val="8"/>
        <w:tblW w:w="88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17"/>
        <w:gridCol w:w="4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4417" w:type="dxa"/>
          </w:tcPr>
          <w:p>
            <w:pPr>
              <w:ind w:left="319" w:leftChars="152"/>
              <w:rPr>
                <w:rFonts w:ascii="方正仿宋_GBK" w:eastAsia="方正仿宋_GBK"/>
                <w:sz w:val="32"/>
                <w:szCs w:val="32"/>
              </w:rPr>
            </w:pPr>
            <w:r>
              <w:rPr>
                <w:rFonts w:hint="eastAsia" w:ascii="方正仿宋_GBK" w:eastAsia="方正仿宋_GBK"/>
                <w:sz w:val="32"/>
                <w:szCs w:val="32"/>
              </w:rPr>
              <w:t>柳区管〔2018〕120号</w:t>
            </w:r>
          </w:p>
        </w:tc>
        <w:tc>
          <w:tcPr>
            <w:tcW w:w="4417" w:type="dxa"/>
          </w:tcPr>
          <w:p>
            <w:pPr>
              <w:ind w:right="319" w:rightChars="152"/>
              <w:jc w:val="right"/>
              <w:rPr>
                <w:rFonts w:ascii="方正仿宋_GBK" w:eastAsia="方正仿宋_GBK"/>
                <w:sz w:val="32"/>
                <w:szCs w:val="32"/>
              </w:rPr>
            </w:pPr>
            <w:r>
              <w:rPr>
                <w:rFonts w:hint="eastAsia" w:ascii="方正仿宋_GBK" w:eastAsia="方正仿宋_GBK"/>
                <w:sz w:val="32"/>
                <w:szCs w:val="32"/>
              </w:rPr>
              <w:t>签发人：</w:t>
            </w:r>
            <w:r>
              <w:rPr>
                <w:rFonts w:hint="eastAsia" w:ascii="方正楷体_GBK" w:eastAsia="方正楷体_GBK"/>
                <w:sz w:val="32"/>
                <w:szCs w:val="32"/>
              </w:rPr>
              <w:t>赵亚</w:t>
            </w:r>
          </w:p>
        </w:tc>
      </w:tr>
    </w:tbl>
    <w:p>
      <w:pPr>
        <w:rPr>
          <w:rFonts w:ascii="方正仿宋_GBK" w:eastAsia="方正仿宋_GBK"/>
          <w:sz w:val="32"/>
          <w:szCs w:val="32"/>
        </w:rPr>
      </w:pPr>
    </w:p>
    <w:p>
      <w:pPr>
        <w:rPr>
          <w:rFonts w:ascii="方正仿宋_GBK" w:eastAsia="方正仿宋_GBK"/>
          <w:sz w:val="32"/>
          <w:szCs w:val="32"/>
        </w:rPr>
      </w:pPr>
    </w:p>
    <w:p>
      <w:pPr>
        <w:snapToGrid w:val="0"/>
        <w:jc w:val="center"/>
        <w:rPr>
          <w:rFonts w:ascii="方正小标宋_GBK" w:eastAsia="方正小标宋_GBK"/>
          <w:sz w:val="44"/>
          <w:szCs w:val="44"/>
        </w:rPr>
      </w:pPr>
      <w:r>
        <w:rPr>
          <w:rFonts w:hint="eastAsia" w:ascii="方正小标宋_GBK" w:hAnsi="方正小标宋_GBK" w:eastAsia="方正小标宋_GBK" w:cs="方正小标宋_GBK"/>
          <w:kern w:val="0"/>
          <w:sz w:val="44"/>
          <w:szCs w:val="44"/>
        </w:rPr>
        <w:t>柳梧新区管委会关于印发《拉萨高新区（柳梧新区）</w:t>
      </w:r>
      <w:r>
        <w:rPr>
          <w:rFonts w:hint="eastAsia" w:ascii="方正小标宋_GBK" w:eastAsia="方正小标宋_GBK"/>
          <w:sz w:val="44"/>
          <w:szCs w:val="44"/>
        </w:rPr>
        <w:t>科技企业创新券实施管理暂行</w:t>
      </w:r>
    </w:p>
    <w:p>
      <w:pPr>
        <w:snapToGrid w:val="0"/>
        <w:jc w:val="center"/>
        <w:rPr>
          <w:rFonts w:ascii="方正小标宋_GBK" w:hAnsi="方正小标宋_GBK" w:eastAsia="方正小标宋_GBK" w:cs="方正小标宋_GBK"/>
          <w:kern w:val="0"/>
          <w:sz w:val="44"/>
          <w:szCs w:val="44"/>
        </w:rPr>
      </w:pPr>
      <w:r>
        <w:rPr>
          <w:rFonts w:hint="eastAsia" w:ascii="方正小标宋_GBK" w:eastAsia="方正小标宋_GBK"/>
          <w:sz w:val="44"/>
          <w:szCs w:val="44"/>
        </w:rPr>
        <w:t>办法（试行）</w:t>
      </w:r>
      <w:r>
        <w:rPr>
          <w:rFonts w:hint="eastAsia" w:ascii="方正小标宋_GBK" w:hAnsi="方正小标宋_GBK" w:eastAsia="方正小标宋_GBK" w:cs="方正小标宋_GBK"/>
          <w:kern w:val="0"/>
          <w:sz w:val="44"/>
          <w:szCs w:val="44"/>
        </w:rPr>
        <w:t>》的通知</w:t>
      </w:r>
    </w:p>
    <w:p>
      <w:pPr>
        <w:widowControl/>
        <w:spacing w:line="560" w:lineRule="exact"/>
        <w:jc w:val="center"/>
        <w:rPr>
          <w:rFonts w:ascii="方正小标宋_GBK" w:hAnsi="方正小标宋_GBK" w:eastAsia="方正小标宋_GBK" w:cs="方正小标宋_GBK"/>
          <w:kern w:val="0"/>
          <w:sz w:val="44"/>
          <w:szCs w:val="44"/>
        </w:rPr>
      </w:pPr>
    </w:p>
    <w:p>
      <w:pPr>
        <w:widowControl/>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柳梧街道办、各局（办）、柳梧新区公安局、柳梧城投公司、柳梧投资公司：</w:t>
      </w:r>
    </w:p>
    <w:p>
      <w:pPr>
        <w:widowControl/>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为深入推进拉萨高新区（柳梧新区）大众创业万众创新工作，创新财政科技投入方式，推动科技创新服务需求方和供给方有效对接，为科技型企业提供更多的创新服务，经柳梧新区管委会2018年第四次主任办公会议研究通过，现将《拉萨高新区（柳梧新区）科技企业创新券实施管理暂行办法（试行）》印发给你们，请结合实际，严格抓好落实。</w:t>
      </w:r>
    </w:p>
    <w:p>
      <w:pPr>
        <w:widowControl/>
        <w:jc w:val="center"/>
        <w:rPr>
          <w:rFonts w:ascii="方正仿宋_GBK" w:hAnsi="方正仿宋_GBK" w:eastAsia="方正仿宋_GBK" w:cs="方正仿宋_GBK"/>
          <w:kern w:val="0"/>
          <w:sz w:val="32"/>
          <w:szCs w:val="32"/>
        </w:rPr>
      </w:pPr>
    </w:p>
    <w:p>
      <w:pPr>
        <w:widowControl/>
        <w:jc w:val="center"/>
        <w:rPr>
          <w:rFonts w:ascii="方正仿宋_GBK" w:hAnsi="方正仿宋_GBK" w:eastAsia="方正仿宋_GBK" w:cs="方正仿宋_GBK"/>
          <w:kern w:val="0"/>
          <w:sz w:val="32"/>
          <w:szCs w:val="32"/>
        </w:rPr>
      </w:pPr>
    </w:p>
    <w:p>
      <w:pPr>
        <w:widowControl/>
        <w:ind w:right="640"/>
        <w:jc w:val="righ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拉萨市柳梧新区管理委员会</w:t>
      </w:r>
    </w:p>
    <w:p>
      <w:pPr>
        <w:widowControl/>
        <w:ind w:right="1277" w:rightChars="608"/>
        <w:jc w:val="righ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2019年10月30日</w:t>
      </w:r>
    </w:p>
    <w:p>
      <w:pPr>
        <w:snapToGrid w:val="0"/>
        <w:jc w:val="center"/>
        <w:rPr>
          <w:rFonts w:hint="eastAsia" w:ascii="方正小标宋_GBK" w:eastAsia="方正小标宋_GBK"/>
          <w:sz w:val="44"/>
          <w:szCs w:val="44"/>
        </w:rPr>
      </w:pPr>
    </w:p>
    <w:p>
      <w:pPr>
        <w:snapToGrid w:val="0"/>
        <w:jc w:val="center"/>
        <w:rPr>
          <w:rFonts w:hint="eastAsia" w:ascii="方正小标宋_GBK" w:eastAsia="方正小标宋_GBK"/>
          <w:sz w:val="44"/>
          <w:szCs w:val="44"/>
        </w:rPr>
      </w:pPr>
    </w:p>
    <w:p>
      <w:pPr>
        <w:snapToGrid w:val="0"/>
        <w:jc w:val="center"/>
        <w:rPr>
          <w:rFonts w:hint="eastAsia" w:ascii="方正小标宋_GBK" w:eastAsia="方正小标宋_GBK"/>
          <w:sz w:val="44"/>
          <w:szCs w:val="44"/>
        </w:rPr>
      </w:pPr>
    </w:p>
    <w:p>
      <w:pPr>
        <w:snapToGrid w:val="0"/>
        <w:jc w:val="center"/>
        <w:rPr>
          <w:rFonts w:hint="eastAsia" w:ascii="方正小标宋_GBK" w:eastAsia="方正小标宋_GBK"/>
          <w:sz w:val="44"/>
          <w:szCs w:val="44"/>
        </w:rPr>
      </w:pPr>
    </w:p>
    <w:p>
      <w:pPr>
        <w:snapToGrid w:val="0"/>
        <w:jc w:val="center"/>
        <w:rPr>
          <w:rFonts w:hint="eastAsia" w:ascii="方正小标宋_GBK" w:eastAsia="方正小标宋_GBK"/>
          <w:sz w:val="44"/>
          <w:szCs w:val="44"/>
        </w:rPr>
      </w:pPr>
    </w:p>
    <w:p>
      <w:pPr>
        <w:snapToGrid w:val="0"/>
        <w:jc w:val="center"/>
        <w:rPr>
          <w:rFonts w:hint="eastAsia" w:ascii="方正小标宋_GBK" w:eastAsia="方正小标宋_GBK"/>
          <w:sz w:val="44"/>
          <w:szCs w:val="44"/>
        </w:rPr>
      </w:pPr>
    </w:p>
    <w:p>
      <w:pPr>
        <w:snapToGrid w:val="0"/>
        <w:jc w:val="center"/>
        <w:rPr>
          <w:rFonts w:hint="eastAsia" w:ascii="方正小标宋_GBK" w:eastAsia="方正小标宋_GBK"/>
          <w:sz w:val="44"/>
          <w:szCs w:val="44"/>
        </w:rPr>
      </w:pPr>
    </w:p>
    <w:p>
      <w:pPr>
        <w:snapToGrid w:val="0"/>
        <w:jc w:val="center"/>
        <w:rPr>
          <w:rFonts w:hint="eastAsia" w:ascii="方正小标宋_GBK" w:eastAsia="方正小标宋_GBK"/>
          <w:sz w:val="44"/>
          <w:szCs w:val="44"/>
        </w:rPr>
      </w:pPr>
    </w:p>
    <w:p>
      <w:pPr>
        <w:snapToGrid w:val="0"/>
        <w:jc w:val="center"/>
        <w:rPr>
          <w:rFonts w:hint="eastAsia" w:ascii="方正小标宋_GBK" w:eastAsia="方正小标宋_GBK"/>
          <w:sz w:val="44"/>
          <w:szCs w:val="44"/>
        </w:rPr>
      </w:pPr>
    </w:p>
    <w:p>
      <w:pPr>
        <w:snapToGrid w:val="0"/>
        <w:jc w:val="center"/>
        <w:rPr>
          <w:rFonts w:hint="eastAsia" w:ascii="方正小标宋_GBK" w:eastAsia="方正小标宋_GBK"/>
          <w:sz w:val="44"/>
          <w:szCs w:val="44"/>
        </w:rPr>
      </w:pPr>
    </w:p>
    <w:p>
      <w:pPr>
        <w:snapToGrid w:val="0"/>
        <w:jc w:val="center"/>
        <w:rPr>
          <w:rFonts w:hint="eastAsia" w:ascii="方正小标宋_GBK" w:eastAsia="方正小标宋_GBK"/>
          <w:sz w:val="44"/>
          <w:szCs w:val="44"/>
        </w:rPr>
      </w:pPr>
    </w:p>
    <w:p>
      <w:pPr>
        <w:snapToGrid w:val="0"/>
        <w:jc w:val="center"/>
        <w:rPr>
          <w:rFonts w:hint="eastAsia" w:ascii="方正小标宋_GBK" w:eastAsia="方正小标宋_GBK"/>
          <w:sz w:val="44"/>
          <w:szCs w:val="44"/>
        </w:rPr>
      </w:pPr>
    </w:p>
    <w:p>
      <w:pPr>
        <w:snapToGrid w:val="0"/>
        <w:jc w:val="center"/>
        <w:rPr>
          <w:rFonts w:hint="eastAsia" w:ascii="方正小标宋_GBK" w:eastAsia="方正小标宋_GBK"/>
          <w:sz w:val="44"/>
          <w:szCs w:val="44"/>
        </w:rPr>
      </w:pPr>
    </w:p>
    <w:p>
      <w:pPr>
        <w:snapToGrid w:val="0"/>
        <w:jc w:val="center"/>
        <w:rPr>
          <w:rFonts w:ascii="方正小标宋_GBK" w:eastAsia="方正小标宋_GBK"/>
          <w:sz w:val="44"/>
          <w:szCs w:val="44"/>
        </w:rPr>
      </w:pPr>
      <w:r>
        <w:rPr>
          <w:rFonts w:hint="eastAsia" w:ascii="方正小标宋_GBK" w:eastAsia="方正小标宋_GBK"/>
          <w:sz w:val="44"/>
          <w:szCs w:val="44"/>
        </w:rPr>
        <w:t>拉萨高新区（柳梧新区）科技企业创新券</w:t>
      </w:r>
    </w:p>
    <w:p>
      <w:pPr>
        <w:snapToGrid w:val="0"/>
        <w:jc w:val="center"/>
        <w:rPr>
          <w:rFonts w:ascii="方正小标宋_GBK" w:eastAsia="方正小标宋_GBK"/>
          <w:sz w:val="44"/>
          <w:szCs w:val="44"/>
        </w:rPr>
      </w:pPr>
      <w:r>
        <w:rPr>
          <w:rFonts w:hint="eastAsia" w:ascii="方正小标宋_GBK" w:eastAsia="方正小标宋_GBK"/>
          <w:sz w:val="44"/>
          <w:szCs w:val="44"/>
        </w:rPr>
        <w:t>实施管理暂行办法（试行）</w:t>
      </w:r>
    </w:p>
    <w:p>
      <w:pPr>
        <w:jc w:val="center"/>
        <w:rPr>
          <w:rFonts w:ascii="方正仿宋_GBK" w:hAnsi="黑体" w:eastAsia="方正仿宋_GBK"/>
          <w:sz w:val="32"/>
          <w:szCs w:val="32"/>
        </w:rPr>
      </w:pP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第一条</w:t>
      </w:r>
      <w:r>
        <w:rPr>
          <w:rFonts w:hint="eastAsia" w:ascii="方正仿宋_GBK" w:hAnsi="方正仿宋_GBK" w:eastAsia="方正仿宋_GBK" w:cs="方正仿宋_GBK"/>
          <w:sz w:val="32"/>
          <w:szCs w:val="32"/>
        </w:rPr>
        <w:t xml:space="preserve">  为创新财政投入方式，提高财政资金使用效率，推动创新服务需求方和供给方有效对接，为驻区科技创新型企业提供更多创新服务，进一步完善区域创新服务体系，根据《国务院关于强化实施创新驱动战略进一步推进大众创业万众创新深入发展的意见》（国发〔2017〕37号）、《关于加快推进拉萨市建设国家创新型城市的实施意见》（拉政发〔2017〕226号）及《拉萨市柳梧新区国家双创示范基地建设工作方案》，特制定本办法。</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第二条</w:t>
      </w:r>
      <w:r>
        <w:rPr>
          <w:rFonts w:hint="eastAsia" w:ascii="方正仿宋_GBK" w:hAnsi="方正仿宋_GBK" w:eastAsia="方正仿宋_GBK" w:cs="方正仿宋_GBK"/>
          <w:sz w:val="32"/>
          <w:szCs w:val="32"/>
        </w:rPr>
        <w:t xml:space="preserve">  科技企业创新券是以政府购买服务的方式支持科技企业创新的一种手段，是推动创新服务需求方和供给方有效对接的一种途径。拉萨高新区双创办（以下简称“双创办”）向企业发放创新券，企业向中介服务机构购买创新服务时，用创新券抵扣一定比例的服务费用，中介服务机构持收到的创新券向双创办兑现并获得一定的服务补贴。</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第三条</w:t>
      </w:r>
      <w:r>
        <w:rPr>
          <w:rFonts w:hint="eastAsia" w:ascii="方正仿宋_GBK" w:hAnsi="方正仿宋_GBK" w:eastAsia="方正仿宋_GBK" w:cs="方正仿宋_GBK"/>
          <w:sz w:val="32"/>
          <w:szCs w:val="32"/>
        </w:rPr>
        <w:t xml:space="preserve">  科技企业创新券资金来源由拉萨市“两创”切块资金和本级财政资金解决。</w:t>
      </w: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管理机构及职责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第四条</w:t>
      </w:r>
      <w:r>
        <w:rPr>
          <w:rFonts w:hint="eastAsia" w:ascii="方正仿宋_GBK" w:hAnsi="方正仿宋_GBK" w:eastAsia="方正仿宋_GBK" w:cs="方正仿宋_GBK"/>
          <w:sz w:val="32"/>
          <w:szCs w:val="32"/>
        </w:rPr>
        <w:t xml:space="preserve">  设立拉萨高新区科技企业创新券领导小组，成员由委领导和相关部门负责人组成，负责企业创新券的政策研究、研究确定企业创新券实施过程中的有关重大事项，领导小组下设办公室，办公室设在双创办。</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第五条</w:t>
      </w:r>
      <w:r>
        <w:rPr>
          <w:rFonts w:hint="eastAsia" w:ascii="方正仿宋_GBK" w:hAnsi="方正仿宋_GBK" w:eastAsia="方正仿宋_GBK" w:cs="方正仿宋_GBK"/>
          <w:sz w:val="32"/>
          <w:szCs w:val="32"/>
        </w:rPr>
        <w:t>双创办具体负责企业创新券的日常运行和管理，以及企业创新券的申请受理、资格审查、发放等具体工作。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财政局具体负责创新券资金的拨付及项目绩效考核。</w:t>
      </w: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支持对象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第六条</w:t>
      </w:r>
      <w:r>
        <w:rPr>
          <w:rFonts w:hint="eastAsia" w:ascii="方正仿宋_GBK" w:hAnsi="方正仿宋_GBK" w:eastAsia="方正仿宋_GBK" w:cs="方正仿宋_GBK"/>
          <w:sz w:val="32"/>
          <w:szCs w:val="32"/>
        </w:rPr>
        <w:t xml:space="preserve">  企业创新券的支持对象包括：</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（一）在新区工商行政管理部门注册登记、具有独立法人资格的科技型中小微企业。</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（二）为新区科技型中小微企业提供创新服务的中介服务机构，中介服务机构需达到以下标准：</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1.注册满两年以上，注册在拉萨高新区（柳梧新区）的企业优先；</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2.必须具有为企业提供对应服务的专业能力与相关资质，并具有从事该类服务两年以上的业务经验；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3.要求全职员工10人以上，相关经验的专业人员5人以上；</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4.遵纪守法开展生产经营等活动，近两年未受到各级行政部门的行政处罚。</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（三）以上所说中小微企业参照《工业和信息化部 国家统计局国家发展和改革委员会 财政部关于印发中小企业划型标准规定的通知》（工信部联企业〔2011〕300号）文件执行。</w:t>
      </w: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使用范围及形式</w:t>
      </w:r>
    </w:p>
    <w:p>
      <w:pPr>
        <w:ind w:firstLine="640" w:firstLineChars="200"/>
        <w:rPr>
          <w:rFonts w:ascii="方正仿宋_GBK" w:hAnsi="方正仿宋_GBK" w:eastAsia="方正仿宋_GBK" w:cs="方正仿宋_GBK"/>
          <w:sz w:val="32"/>
          <w:szCs w:val="32"/>
          <w:highlight w:val="yellow"/>
        </w:rPr>
      </w:pPr>
      <w:r>
        <w:rPr>
          <w:rFonts w:hint="eastAsia" w:ascii="方正仿宋_GBK" w:hAnsi="方正仿宋_GBK" w:eastAsia="方正仿宋_GBK" w:cs="方正仿宋_GBK"/>
          <w:bCs/>
          <w:sz w:val="32"/>
          <w:szCs w:val="32"/>
        </w:rPr>
        <w:t>第七条</w:t>
      </w:r>
      <w:r>
        <w:rPr>
          <w:rFonts w:hint="eastAsia" w:ascii="方正仿宋_GBK" w:hAnsi="方正仿宋_GBK" w:eastAsia="方正仿宋_GBK" w:cs="方正仿宋_GBK"/>
          <w:sz w:val="32"/>
          <w:szCs w:val="32"/>
        </w:rPr>
        <w:t xml:space="preserve">  科技企业创新券限用于高新区企业向中介服务机构购买科技创新服务，包括研发、试验测试、科技金融等费用（详情见附件）。</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第八条</w:t>
      </w:r>
      <w:r>
        <w:rPr>
          <w:rFonts w:hint="eastAsia" w:ascii="方正仿宋_GBK" w:hAnsi="方正仿宋_GBK" w:eastAsia="方正仿宋_GBK" w:cs="方正仿宋_GBK"/>
          <w:sz w:val="32"/>
          <w:szCs w:val="32"/>
        </w:rPr>
        <w:t xml:space="preserve">  科技企业创新券采取电子券形式，有效期为1年，当年可申请的创新券最高限额不超过50万元，申请的创新券额度采取分段超额累退比例法核定，结果四舍五入后取整，核定比例如下：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每年度符合补贴要求的业务合同金额在10万元及以下的部分按照最高不超过90%的比例核定；</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超过10万元至50万元的部分按照最高不超过60%的比例核定；</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超过50万元至100万元的部分按照最高不超过30%的比例核定。</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超过100万元以上的部分，不再予以创新券补贴。</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第九条</w:t>
      </w:r>
      <w:r>
        <w:rPr>
          <w:rFonts w:hint="eastAsia" w:ascii="方正仿宋_GBK" w:hAnsi="方正仿宋_GBK" w:eastAsia="方正仿宋_GBK" w:cs="方正仿宋_GBK"/>
          <w:sz w:val="32"/>
          <w:szCs w:val="32"/>
        </w:rPr>
        <w:t xml:space="preserve">  科技企业创新券限于申领企业自己使用，不得转让、买卖。</w:t>
      </w: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申领与使用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第十条</w:t>
      </w:r>
      <w:r>
        <w:rPr>
          <w:rFonts w:hint="eastAsia" w:ascii="方正仿宋_GBK" w:hAnsi="方正仿宋_GBK" w:eastAsia="方正仿宋_GBK" w:cs="方正仿宋_GBK"/>
          <w:sz w:val="32"/>
          <w:szCs w:val="32"/>
        </w:rPr>
        <w:t xml:space="preserve">  科技企业创新券的申领程序：</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（一）双创办发布科技企业创新券资助通知，明确企业创新券的发放、使用范围和使用比例等有关要求；</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企业通过“拉萨高新区双创服务平台”（mcliuwu.com）提出创新券申请，由双创办进行线上审核，线上审核通过后3个工作日内将科技企业创新券（电子券）发放至企业在“高新区双创服务平台”上的账户。同时企业将纸质版申请资料提交双创办备案。</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第十一条</w:t>
      </w:r>
      <w:r>
        <w:rPr>
          <w:rFonts w:hint="eastAsia" w:ascii="方正仿宋_GBK" w:hAnsi="方正仿宋_GBK" w:eastAsia="方正仿宋_GBK" w:cs="方正仿宋_GBK"/>
          <w:sz w:val="32"/>
          <w:szCs w:val="32"/>
        </w:rPr>
        <w:t xml:space="preserve">  企业创新券的使用程序：</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（一）企业在“高新区双创服务平台”上选择需要购买的创新服务产品并提出购买申请。</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（二）中介服务机构与申请企业在线下商定服务内容、服务时间、服务费用等相关事宜后签订服务合同书，并将服务合同书上传至“高新区双创服务平台”。</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（三）双创办对服务合同书进行审查，审查通过后，中介服务机构按照服务合同书约定为企业提供相应创新服务。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（四）服务完成后，企业在“高新区双创服务平台”上使用创新券向中介服务机构支付一定比例的服务费用。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（五）所有使用创新券的服务项目完成后进行绩效考核，如绩效考核不达标，该服务机构不再享受创新券使用权。</w:t>
      </w: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兑现与要求</w:t>
      </w:r>
    </w:p>
    <w:p>
      <w:pPr>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bCs/>
          <w:sz w:val="32"/>
          <w:szCs w:val="32"/>
        </w:rPr>
        <w:t>第十二条</w:t>
      </w:r>
      <w:r>
        <w:rPr>
          <w:rFonts w:hint="eastAsia" w:ascii="方正仿宋_GBK" w:hAnsi="方正仿宋_GBK" w:eastAsia="方正仿宋_GBK" w:cs="方正仿宋_GBK"/>
          <w:sz w:val="32"/>
          <w:szCs w:val="32"/>
        </w:rPr>
        <w:t xml:space="preserve">  为鼓励中介服务机构为企业提供更多更好的创新服务，双创办对中介服务机构提供的服务给予服务费用一定比例的补贴，补贴经费主要用于对提供服务的团队进行奖励。补贴比例为每笔创新券合同总金额的10%，每年每家机构获得的补贴不超过100万。</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第十三条</w:t>
      </w:r>
      <w:r>
        <w:rPr>
          <w:rFonts w:hint="eastAsia" w:ascii="方正仿宋_GBK" w:hAnsi="方正仿宋_GBK" w:eastAsia="方正仿宋_GBK" w:cs="方正仿宋_GBK"/>
          <w:sz w:val="32"/>
          <w:szCs w:val="32"/>
        </w:rPr>
        <w:t xml:space="preserve">  企业创新券的兑现程序：</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（一）中介服务机构按照服务合同书要求完成相关服务后，将相关服务的证明材料上传到“高新区双创服务平台”，双创办在3个工作日内完成服务证明材料的审核，并给出审核意见。</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（二）中介服务机构根据审核意见，在规定期限内将企业创新券兑现额度和申请服务补贴的纸质证明材料提交双创办。</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（三）双创办负责对中介服务机构提交的纸质证明材料进行审核后报财政局，由财政局每月集中拨付科技企业创新券兑现额度及服务补贴。同时将科技企业创新券使用及拨付情况汇总表上报领导小组。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第十四条</w:t>
      </w:r>
      <w:r>
        <w:rPr>
          <w:rFonts w:hint="eastAsia" w:ascii="方正仿宋_GBK" w:hAnsi="方正仿宋_GBK" w:eastAsia="方正仿宋_GBK" w:cs="方正仿宋_GBK"/>
          <w:sz w:val="32"/>
          <w:szCs w:val="32"/>
        </w:rPr>
        <w:t xml:space="preserve">  科技企业创新券原则上每个月兑现1次。</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第十五条</w:t>
      </w:r>
      <w:r>
        <w:rPr>
          <w:rFonts w:hint="eastAsia" w:ascii="方正仿宋_GBK" w:hAnsi="方正仿宋_GBK" w:eastAsia="方正仿宋_GBK" w:cs="方正仿宋_GBK"/>
          <w:sz w:val="32"/>
          <w:szCs w:val="32"/>
        </w:rPr>
        <w:t xml:space="preserve">  中介服务机构提交的企业创新券兑现和服务补贴资助证明材料包括：</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（一）科技企业创新券服务项目兑现汇总表，包括服务企业名称、服务项目名称、服务内容和服务时间等。</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（二）中介服务机构与企业签订的服务合同书复印件，提交时要审查服务合同书原件。</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（三）服务产品收费情况的有效证明材料（包括中介服务机构向企业开具的购买服务的发票等）。</w:t>
      </w:r>
    </w:p>
    <w:p>
      <w:pPr>
        <w:jc w:val="center"/>
        <w:rPr>
          <w:rFonts w:ascii="方正仿宋_GBK" w:hAnsi="方正黑体_GBK" w:eastAsia="方正仿宋_GBK" w:cs="方正黑体_GBK"/>
          <w:sz w:val="32"/>
          <w:szCs w:val="32"/>
        </w:rPr>
      </w:pPr>
    </w:p>
    <w:p>
      <w:pPr>
        <w:jc w:val="center"/>
        <w:rPr>
          <w:rFonts w:ascii="方正黑体_GBK" w:hAnsi="方正黑体_GBK" w:eastAsia="方正黑体_GBK" w:cs="方正黑体_GBK"/>
          <w:sz w:val="32"/>
          <w:szCs w:val="32"/>
          <w:highlight w:val="yellow"/>
        </w:rPr>
      </w:pPr>
      <w:r>
        <w:rPr>
          <w:rFonts w:hint="eastAsia" w:ascii="方正黑体_GBK" w:hAnsi="方正黑体_GBK" w:eastAsia="方正黑体_GBK" w:cs="方正黑体_GBK"/>
          <w:sz w:val="32"/>
          <w:szCs w:val="32"/>
        </w:rPr>
        <w:t>第七章  罚  则</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第十六条</w:t>
      </w:r>
      <w:r>
        <w:rPr>
          <w:rFonts w:hint="eastAsia" w:ascii="方正仿宋_GBK" w:hAnsi="方正仿宋_GBK" w:eastAsia="方正仿宋_GBK" w:cs="方正仿宋_GBK"/>
          <w:sz w:val="32"/>
          <w:szCs w:val="32"/>
        </w:rPr>
        <w:t xml:space="preserve">  对通过科技企业创新券骗取财政资金的企业和中介服务机构，注销其持有的企业创新券，追回骗取的资金，3年内不给予财政补贴项目和财政资金支持，并追究其相关法律责任。</w:t>
      </w: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  附  则</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第十七条</w:t>
      </w:r>
      <w:r>
        <w:rPr>
          <w:rFonts w:hint="eastAsia" w:ascii="方正仿宋_GBK" w:hAnsi="方正仿宋_GBK" w:eastAsia="方正仿宋_GBK" w:cs="方正仿宋_GBK"/>
          <w:sz w:val="32"/>
          <w:szCs w:val="32"/>
        </w:rPr>
        <w:t xml:space="preserve">  本办法由高新区双创办负责解释。</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第十八条</w:t>
      </w:r>
      <w:r>
        <w:rPr>
          <w:rFonts w:hint="eastAsia" w:ascii="方正仿宋_GBK" w:hAnsi="方正仿宋_GBK" w:eastAsia="方正仿宋_GBK" w:cs="方正仿宋_GBK"/>
          <w:sz w:val="32"/>
          <w:szCs w:val="32"/>
        </w:rPr>
        <w:t xml:space="preserve">  本办法自印发之日起30日后生效，有效期3年。</w:t>
      </w:r>
    </w:p>
    <w:p>
      <w:pPr>
        <w:ind w:firstLine="640" w:firstLineChars="200"/>
        <w:rPr>
          <w:rFonts w:hint="default" w:ascii="方正仿宋_GBK" w:hAnsi="方正仿宋_GBK" w:eastAsia="方正仿宋_GBK" w:cs="方正仿宋_GBK"/>
          <w:sz w:val="32"/>
          <w:szCs w:val="32"/>
          <w:lang w:val="en-US" w:eastAsia="zh-CN"/>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附件：细则</w:t>
      </w:r>
    </w:p>
    <w:p>
      <w:pPr>
        <w:rPr>
          <w:rFonts w:ascii="方正黑体_GBK" w:hAnsi="方正黑体_GBK" w:eastAsia="方正黑体_GBK" w:cs="方正黑体_GBK"/>
          <w:sz w:val="32"/>
          <w:szCs w:val="32"/>
        </w:rPr>
      </w:pPr>
    </w:p>
    <w:p>
      <w:pPr>
        <w:rPr>
          <w:rFonts w:ascii="方正黑体_GBK" w:hAnsi="方正黑体_GBK" w:eastAsia="方正黑体_GBK" w:cs="方正黑体_GBK"/>
          <w:sz w:val="32"/>
          <w:szCs w:val="32"/>
        </w:rPr>
      </w:pPr>
    </w:p>
    <w:p>
      <w:pPr>
        <w:rPr>
          <w:rFonts w:ascii="方正黑体_GBK" w:hAnsi="方正黑体_GBK" w:eastAsia="方正黑体_GBK" w:cs="方正黑体_GBK"/>
          <w:sz w:val="32"/>
          <w:szCs w:val="32"/>
        </w:rPr>
      </w:pPr>
    </w:p>
    <w:p>
      <w:pPr>
        <w:rPr>
          <w:rFonts w:ascii="方正黑体_GBK" w:hAnsi="方正黑体_GBK" w:eastAsia="方正黑体_GBK" w:cs="方正黑体_GBK"/>
          <w:sz w:val="32"/>
          <w:szCs w:val="32"/>
        </w:rPr>
      </w:pPr>
    </w:p>
    <w:p>
      <w:pPr>
        <w:rPr>
          <w:rFonts w:ascii="方正黑体_GBK" w:hAnsi="方正黑体_GBK" w:eastAsia="方正黑体_GBK" w:cs="方正黑体_GBK"/>
          <w:sz w:val="32"/>
          <w:szCs w:val="32"/>
        </w:rPr>
      </w:pPr>
    </w:p>
    <w:p>
      <w:pPr>
        <w:rPr>
          <w:rFonts w:ascii="方正黑体_GBK" w:hAnsi="方正黑体_GBK" w:eastAsia="方正黑体_GBK" w:cs="方正黑体_GBK"/>
          <w:sz w:val="32"/>
          <w:szCs w:val="32"/>
        </w:rPr>
      </w:pPr>
    </w:p>
    <w:p>
      <w:pPr>
        <w:rPr>
          <w:rFonts w:ascii="方正黑体_GBK" w:hAnsi="方正黑体_GBK" w:eastAsia="方正黑体_GBK" w:cs="方正黑体_GBK"/>
          <w:sz w:val="32"/>
          <w:szCs w:val="32"/>
        </w:rPr>
      </w:pPr>
    </w:p>
    <w:p>
      <w:pPr>
        <w:rPr>
          <w:rFonts w:ascii="方正黑体_GBK" w:hAnsi="方正黑体_GBK" w:eastAsia="方正黑体_GBK" w:cs="方正黑体_GBK"/>
          <w:sz w:val="32"/>
          <w:szCs w:val="32"/>
        </w:rPr>
      </w:pPr>
    </w:p>
    <w:p>
      <w:pPr>
        <w:rPr>
          <w:rFonts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细则</w:t>
      </w:r>
    </w:p>
    <w:tbl>
      <w:tblPr>
        <w:tblStyle w:val="7"/>
        <w:tblW w:w="7971" w:type="dxa"/>
        <w:jc w:val="center"/>
        <w:tblInd w:w="-10" w:type="dxa"/>
        <w:shd w:val="clear" w:color="auto" w:fill="FFFFFF"/>
        <w:tblLayout w:type="fixed"/>
        <w:tblCellMar>
          <w:top w:w="0" w:type="dxa"/>
          <w:left w:w="0" w:type="dxa"/>
          <w:bottom w:w="0" w:type="dxa"/>
          <w:right w:w="0" w:type="dxa"/>
        </w:tblCellMar>
      </w:tblPr>
      <w:tblGrid>
        <w:gridCol w:w="478"/>
        <w:gridCol w:w="1435"/>
        <w:gridCol w:w="2965"/>
        <w:gridCol w:w="3093"/>
      </w:tblGrid>
      <w:tr>
        <w:tblPrEx>
          <w:shd w:val="clear" w:color="auto" w:fill="FFFFFF"/>
          <w:tblLayout w:type="fixed"/>
          <w:tblCellMar>
            <w:top w:w="0" w:type="dxa"/>
            <w:left w:w="0" w:type="dxa"/>
            <w:bottom w:w="0" w:type="dxa"/>
            <w:right w:w="0" w:type="dxa"/>
          </w:tblCellMar>
        </w:tblPrEx>
        <w:trPr>
          <w:jc w:val="center"/>
        </w:trPr>
        <w:tc>
          <w:tcPr>
            <w:tcW w:w="478" w:type="dxa"/>
            <w:tcBorders>
              <w:top w:val="single" w:color="C6C9CD" w:sz="8" w:space="0"/>
              <w:left w:val="single" w:color="C6C9CD" w:sz="8" w:space="0"/>
              <w:bottom w:val="single" w:color="C6C9CD" w:sz="8" w:space="0"/>
              <w:right w:val="single" w:color="C6C9CD" w:sz="8" w:space="0"/>
            </w:tcBorders>
            <w:shd w:val="clear" w:color="auto" w:fill="EEEEEE"/>
            <w:noWrap w:val="0"/>
            <w:vAlign w:val="center"/>
          </w:tcPr>
          <w:p>
            <w:pPr>
              <w:pStyle w:val="6"/>
              <w:widowControl/>
              <w:spacing w:before="235" w:beforeAutospacing="0" w:after="235" w:afterAutospacing="0" w:line="240" w:lineRule="auto"/>
              <w:jc w:val="center"/>
              <w:rPr>
                <w:sz w:val="22"/>
              </w:rPr>
            </w:pPr>
            <w:r>
              <w:rPr>
                <w:rFonts w:hint="eastAsia" w:ascii="宋体" w:hAnsi="宋体" w:cs="宋体"/>
                <w:b/>
                <w:color w:val="000000"/>
                <w:sz w:val="22"/>
              </w:rPr>
              <w:t>序号</w:t>
            </w:r>
          </w:p>
        </w:tc>
        <w:tc>
          <w:tcPr>
            <w:tcW w:w="1435" w:type="dxa"/>
            <w:tcBorders>
              <w:top w:val="single" w:color="C6C9CD" w:sz="8" w:space="0"/>
              <w:left w:val="single" w:color="C6C9CD" w:sz="8" w:space="0"/>
              <w:bottom w:val="single" w:color="C6C9CD" w:sz="8" w:space="0"/>
              <w:right w:val="single" w:color="C6C9CD" w:sz="8" w:space="0"/>
            </w:tcBorders>
            <w:shd w:val="clear" w:color="auto" w:fill="EEEEEE"/>
            <w:noWrap w:val="0"/>
            <w:vAlign w:val="center"/>
          </w:tcPr>
          <w:p>
            <w:pPr>
              <w:pStyle w:val="6"/>
              <w:widowControl/>
              <w:spacing w:before="235" w:beforeAutospacing="0" w:after="235" w:afterAutospacing="0" w:line="240" w:lineRule="auto"/>
              <w:jc w:val="center"/>
              <w:rPr>
                <w:sz w:val="22"/>
              </w:rPr>
            </w:pPr>
            <w:r>
              <w:rPr>
                <w:rFonts w:hint="eastAsia" w:ascii="宋体" w:hAnsi="宋体" w:cs="宋体"/>
                <w:b/>
                <w:color w:val="000000"/>
                <w:sz w:val="22"/>
              </w:rPr>
              <w:t>服务类别</w:t>
            </w:r>
          </w:p>
        </w:tc>
        <w:tc>
          <w:tcPr>
            <w:tcW w:w="2965" w:type="dxa"/>
            <w:tcBorders>
              <w:top w:val="single" w:color="C6C9CD" w:sz="8" w:space="0"/>
              <w:left w:val="single" w:color="C6C9CD" w:sz="8" w:space="0"/>
              <w:bottom w:val="single" w:color="C6C9CD" w:sz="8" w:space="0"/>
              <w:right w:val="single" w:color="C6C9CD" w:sz="8" w:space="0"/>
            </w:tcBorders>
            <w:shd w:val="clear" w:color="auto" w:fill="EEEEEE"/>
            <w:noWrap w:val="0"/>
            <w:vAlign w:val="center"/>
          </w:tcPr>
          <w:p>
            <w:pPr>
              <w:pStyle w:val="6"/>
              <w:widowControl/>
              <w:spacing w:before="235" w:beforeAutospacing="0" w:after="235" w:afterAutospacing="0" w:line="240" w:lineRule="auto"/>
              <w:jc w:val="center"/>
              <w:rPr>
                <w:sz w:val="22"/>
              </w:rPr>
            </w:pPr>
            <w:r>
              <w:rPr>
                <w:rFonts w:hint="eastAsia" w:ascii="宋体" w:hAnsi="宋体" w:cs="宋体"/>
                <w:b/>
                <w:color w:val="000000"/>
                <w:sz w:val="22"/>
              </w:rPr>
              <w:t>服务子类</w:t>
            </w:r>
          </w:p>
        </w:tc>
        <w:tc>
          <w:tcPr>
            <w:tcW w:w="3093" w:type="dxa"/>
            <w:tcBorders>
              <w:top w:val="single" w:color="C6C9CD" w:sz="8" w:space="0"/>
              <w:left w:val="single" w:color="C6C9CD" w:sz="8" w:space="0"/>
              <w:bottom w:val="single" w:color="C6C9CD" w:sz="8" w:space="0"/>
              <w:right w:val="single" w:color="C6C9CD" w:sz="8" w:space="0"/>
            </w:tcBorders>
            <w:shd w:val="clear" w:color="auto" w:fill="EEEEEE"/>
            <w:noWrap w:val="0"/>
            <w:vAlign w:val="center"/>
          </w:tcPr>
          <w:p>
            <w:pPr>
              <w:pStyle w:val="6"/>
              <w:widowControl/>
              <w:spacing w:before="235" w:beforeAutospacing="0" w:after="235" w:afterAutospacing="0" w:line="240" w:lineRule="auto"/>
              <w:jc w:val="center"/>
              <w:rPr>
                <w:sz w:val="22"/>
              </w:rPr>
            </w:pPr>
            <w:r>
              <w:rPr>
                <w:rFonts w:hint="eastAsia" w:ascii="宋体" w:hAnsi="宋体" w:cs="宋体"/>
                <w:b/>
                <w:color w:val="000000"/>
                <w:sz w:val="22"/>
              </w:rPr>
              <w:t>申请单位资质</w:t>
            </w:r>
          </w:p>
        </w:tc>
      </w:tr>
      <w:tr>
        <w:tblPrEx>
          <w:tblLayout w:type="fixed"/>
          <w:tblCellMar>
            <w:top w:w="0" w:type="dxa"/>
            <w:left w:w="0" w:type="dxa"/>
            <w:bottom w:w="0" w:type="dxa"/>
            <w:right w:w="0" w:type="dxa"/>
          </w:tblCellMar>
        </w:tblPrEx>
        <w:trPr>
          <w:trHeight w:val="90" w:hRule="atLeast"/>
          <w:jc w:val="center"/>
        </w:trPr>
        <w:tc>
          <w:tcPr>
            <w:tcW w:w="478" w:type="dxa"/>
            <w:vMerge w:val="restart"/>
            <w:tcBorders>
              <w:top w:val="single" w:color="C6C9CD" w:sz="8" w:space="0"/>
              <w:left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435" w:type="dxa"/>
            <w:vMerge w:val="restart"/>
            <w:tcBorders>
              <w:top w:val="single" w:color="C6C9CD" w:sz="8" w:space="0"/>
              <w:left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jc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代理代办服务</w:t>
            </w: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工商代办服务</w:t>
            </w:r>
          </w:p>
        </w:tc>
        <w:tc>
          <w:tcPr>
            <w:tcW w:w="3093" w:type="dxa"/>
            <w:vMerge w:val="restart"/>
            <w:tcBorders>
              <w:top w:val="single" w:color="C6C9CD" w:sz="8" w:space="0"/>
              <w:left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拥有工商部门及相关行业主管部门认证的经营范围及资质的机构</w:t>
            </w:r>
          </w:p>
        </w:tc>
      </w:tr>
      <w:tr>
        <w:tblPrEx>
          <w:tblLayout w:type="fixed"/>
          <w:tblCellMar>
            <w:top w:w="0" w:type="dxa"/>
            <w:left w:w="0" w:type="dxa"/>
            <w:bottom w:w="0" w:type="dxa"/>
            <w:right w:w="0" w:type="dxa"/>
          </w:tblCellMar>
        </w:tblPrEx>
        <w:trPr>
          <w:trHeight w:val="462" w:hRule="atLeast"/>
          <w:jc w:val="center"/>
        </w:trPr>
        <w:tc>
          <w:tcPr>
            <w:tcW w:w="478" w:type="dxa"/>
            <w:vMerge w:val="continue"/>
            <w:tcBorders>
              <w:left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p>
        </w:tc>
        <w:tc>
          <w:tcPr>
            <w:tcW w:w="1435" w:type="dxa"/>
            <w:vMerge w:val="continue"/>
            <w:tcBorders>
              <w:left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代理记账服务</w:t>
            </w:r>
          </w:p>
        </w:tc>
        <w:tc>
          <w:tcPr>
            <w:tcW w:w="3093" w:type="dxa"/>
            <w:vMerge w:val="continue"/>
            <w:tcBorders>
              <w:left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462" w:hRule="atLeast"/>
          <w:jc w:val="center"/>
        </w:trPr>
        <w:tc>
          <w:tcPr>
            <w:tcW w:w="478" w:type="dxa"/>
            <w:vMerge w:val="continue"/>
            <w:tcBorders>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p>
        </w:tc>
        <w:tc>
          <w:tcPr>
            <w:tcW w:w="1435" w:type="dxa"/>
            <w:vMerge w:val="continue"/>
            <w:tcBorders>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财务规范服务</w:t>
            </w:r>
          </w:p>
        </w:tc>
        <w:tc>
          <w:tcPr>
            <w:tcW w:w="3093" w:type="dxa"/>
            <w:vMerge w:val="continue"/>
            <w:tcBorders>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90" w:hRule="atLeast"/>
          <w:jc w:val="center"/>
        </w:trPr>
        <w:tc>
          <w:tcPr>
            <w:tcW w:w="478" w:type="dxa"/>
            <w:vMerge w:val="restart"/>
            <w:tcBorders>
              <w:left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1435" w:type="dxa"/>
            <w:vMerge w:val="restart"/>
            <w:tcBorders>
              <w:left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知识产权服务</w:t>
            </w: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知识产权设计</w:t>
            </w:r>
          </w:p>
        </w:tc>
        <w:tc>
          <w:tcPr>
            <w:tcW w:w="3093" w:type="dxa"/>
            <w:vMerge w:val="restart"/>
            <w:tcBorders>
              <w:left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拥有工商部门认证的经营范围及知识产权代理资质的机构</w:t>
            </w:r>
          </w:p>
        </w:tc>
      </w:tr>
      <w:tr>
        <w:tblPrEx>
          <w:tblLayout w:type="fixed"/>
          <w:tblCellMar>
            <w:top w:w="0" w:type="dxa"/>
            <w:left w:w="0" w:type="dxa"/>
            <w:bottom w:w="0" w:type="dxa"/>
            <w:right w:w="0" w:type="dxa"/>
          </w:tblCellMar>
        </w:tblPrEx>
        <w:trPr>
          <w:trHeight w:val="462" w:hRule="atLeast"/>
          <w:jc w:val="center"/>
        </w:trPr>
        <w:tc>
          <w:tcPr>
            <w:tcW w:w="478" w:type="dxa"/>
            <w:vMerge w:val="continue"/>
            <w:tcBorders>
              <w:left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p>
        </w:tc>
        <w:tc>
          <w:tcPr>
            <w:tcW w:w="1435" w:type="dxa"/>
            <w:vMerge w:val="continue"/>
            <w:tcBorders>
              <w:left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知识产权申请代理</w:t>
            </w:r>
          </w:p>
        </w:tc>
        <w:tc>
          <w:tcPr>
            <w:tcW w:w="3093" w:type="dxa"/>
            <w:vMerge w:val="continue"/>
            <w:tcBorders>
              <w:left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90" w:hRule="atLeast"/>
          <w:jc w:val="center"/>
        </w:trPr>
        <w:tc>
          <w:tcPr>
            <w:tcW w:w="478" w:type="dxa"/>
            <w:vMerge w:val="continue"/>
            <w:tcBorders>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p>
        </w:tc>
        <w:tc>
          <w:tcPr>
            <w:tcW w:w="1435" w:type="dxa"/>
            <w:vMerge w:val="continue"/>
            <w:tcBorders>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知识产权维权及商业化服务</w:t>
            </w:r>
          </w:p>
        </w:tc>
        <w:tc>
          <w:tcPr>
            <w:tcW w:w="3093" w:type="dxa"/>
            <w:vMerge w:val="continue"/>
            <w:tcBorders>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trHeight w:val="462" w:hRule="atLeast"/>
          <w:jc w:val="center"/>
        </w:trPr>
        <w:tc>
          <w:tcPr>
            <w:tcW w:w="478" w:type="dxa"/>
            <w:vMerge w:val="restart"/>
            <w:tcBorders>
              <w:left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w:t>
            </w:r>
          </w:p>
        </w:tc>
        <w:tc>
          <w:tcPr>
            <w:tcW w:w="1435" w:type="dxa"/>
            <w:vMerge w:val="restart"/>
            <w:tcBorders>
              <w:left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项目及投融资服务</w:t>
            </w: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商业计划书编制、可行性研究报告编制、资金申请报告编制</w:t>
            </w:r>
          </w:p>
        </w:tc>
        <w:tc>
          <w:tcPr>
            <w:tcW w:w="3093" w:type="dxa"/>
            <w:tcBorders>
              <w:left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拥有工商部门认证的经营范围及工程咨询资质的机构</w:t>
            </w:r>
          </w:p>
        </w:tc>
      </w:tr>
      <w:tr>
        <w:tblPrEx>
          <w:tblLayout w:type="fixed"/>
          <w:tblCellMar>
            <w:top w:w="0" w:type="dxa"/>
            <w:left w:w="0" w:type="dxa"/>
            <w:bottom w:w="0" w:type="dxa"/>
            <w:right w:w="0" w:type="dxa"/>
          </w:tblCellMar>
        </w:tblPrEx>
        <w:trPr>
          <w:trHeight w:val="462" w:hRule="atLeast"/>
          <w:jc w:val="center"/>
        </w:trPr>
        <w:tc>
          <w:tcPr>
            <w:tcW w:w="478" w:type="dxa"/>
            <w:vMerge w:val="continue"/>
            <w:tcBorders>
              <w:left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p>
        </w:tc>
        <w:tc>
          <w:tcPr>
            <w:tcW w:w="1435" w:type="dxa"/>
            <w:vMerge w:val="continue"/>
            <w:tcBorders>
              <w:left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财税审计、资产评估</w:t>
            </w:r>
          </w:p>
        </w:tc>
        <w:tc>
          <w:tcPr>
            <w:tcW w:w="3093" w:type="dxa"/>
            <w:tcBorders>
              <w:left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拥有工商部门认证的经营范围及审计评估资质的机构</w:t>
            </w:r>
          </w:p>
        </w:tc>
      </w:tr>
      <w:tr>
        <w:tblPrEx>
          <w:tblLayout w:type="fixed"/>
          <w:tblCellMar>
            <w:top w:w="0" w:type="dxa"/>
            <w:left w:w="0" w:type="dxa"/>
            <w:bottom w:w="0" w:type="dxa"/>
            <w:right w:w="0" w:type="dxa"/>
          </w:tblCellMar>
        </w:tblPrEx>
        <w:trPr>
          <w:trHeight w:val="462" w:hRule="atLeast"/>
          <w:jc w:val="center"/>
        </w:trPr>
        <w:tc>
          <w:tcPr>
            <w:tcW w:w="478" w:type="dxa"/>
            <w:vMerge w:val="continue"/>
            <w:tcBorders>
              <w:left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p>
        </w:tc>
        <w:tc>
          <w:tcPr>
            <w:tcW w:w="1435" w:type="dxa"/>
            <w:vMerge w:val="continue"/>
            <w:tcBorders>
              <w:left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科技评价</w:t>
            </w:r>
          </w:p>
        </w:tc>
        <w:tc>
          <w:tcPr>
            <w:tcW w:w="3093" w:type="dxa"/>
            <w:tcBorders>
              <w:left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拥有工商部门认证的经营范围及科技评价资质的机构</w:t>
            </w:r>
          </w:p>
        </w:tc>
      </w:tr>
      <w:tr>
        <w:tblPrEx>
          <w:tblLayout w:type="fixed"/>
          <w:tblCellMar>
            <w:top w:w="0" w:type="dxa"/>
            <w:left w:w="0" w:type="dxa"/>
            <w:bottom w:w="0" w:type="dxa"/>
            <w:right w:w="0" w:type="dxa"/>
          </w:tblCellMar>
        </w:tblPrEx>
        <w:trPr>
          <w:trHeight w:val="359" w:hRule="atLeast"/>
          <w:jc w:val="center"/>
        </w:trPr>
        <w:tc>
          <w:tcPr>
            <w:tcW w:w="478" w:type="dxa"/>
            <w:vMerge w:val="continue"/>
            <w:tcBorders>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p>
        </w:tc>
        <w:tc>
          <w:tcPr>
            <w:tcW w:w="1435" w:type="dxa"/>
            <w:vMerge w:val="continue"/>
            <w:tcBorders>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法务、担保、发债、上市等咨询服务</w:t>
            </w:r>
          </w:p>
        </w:tc>
        <w:tc>
          <w:tcPr>
            <w:tcW w:w="3093" w:type="dxa"/>
            <w:tcBorders>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拥有工商部门认证的经营范围及相关咨询资质的机构</w:t>
            </w:r>
          </w:p>
        </w:tc>
      </w:tr>
      <w:tr>
        <w:tblPrEx>
          <w:tblLayout w:type="fixed"/>
          <w:tblCellMar>
            <w:top w:w="0" w:type="dxa"/>
            <w:left w:w="0" w:type="dxa"/>
            <w:bottom w:w="0" w:type="dxa"/>
            <w:right w:w="0" w:type="dxa"/>
          </w:tblCellMar>
        </w:tblPrEx>
        <w:trPr>
          <w:trHeight w:val="462" w:hRule="atLeast"/>
          <w:jc w:val="center"/>
        </w:trPr>
        <w:tc>
          <w:tcPr>
            <w:tcW w:w="478" w:type="dxa"/>
            <w:tcBorders>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4</w:t>
            </w:r>
          </w:p>
        </w:tc>
        <w:tc>
          <w:tcPr>
            <w:tcW w:w="1435" w:type="dxa"/>
            <w:tcBorders>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广告与品牌</w:t>
            </w:r>
          </w:p>
          <w:p>
            <w:pPr>
              <w:pStyle w:val="6"/>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服务</w:t>
            </w: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企业品牌策划、市场宣传推广等服务</w:t>
            </w:r>
          </w:p>
        </w:tc>
        <w:tc>
          <w:tcPr>
            <w:tcW w:w="3093" w:type="dxa"/>
            <w:tcBorders>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拥有工商部门认证的经营范围及相关咨询资质的机构</w:t>
            </w:r>
          </w:p>
        </w:tc>
      </w:tr>
      <w:tr>
        <w:tblPrEx>
          <w:tblLayout w:type="fixed"/>
          <w:tblCellMar>
            <w:top w:w="0" w:type="dxa"/>
            <w:left w:w="0" w:type="dxa"/>
            <w:bottom w:w="0" w:type="dxa"/>
            <w:right w:w="0" w:type="dxa"/>
          </w:tblCellMar>
        </w:tblPrEx>
        <w:trPr>
          <w:trHeight w:val="462" w:hRule="atLeast"/>
          <w:jc w:val="center"/>
        </w:trPr>
        <w:tc>
          <w:tcPr>
            <w:tcW w:w="478" w:type="dxa"/>
            <w:tcBorders>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5</w:t>
            </w:r>
          </w:p>
        </w:tc>
        <w:tc>
          <w:tcPr>
            <w:tcW w:w="1435" w:type="dxa"/>
            <w:tcBorders>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培训交流服务</w:t>
            </w: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为提高员工专业技术能力而开展的培训交流学习服务</w:t>
            </w:r>
          </w:p>
        </w:tc>
        <w:tc>
          <w:tcPr>
            <w:tcW w:w="3093" w:type="dxa"/>
            <w:tcBorders>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拥有工商部门认证的经营范围及相关咨询资质的机构</w:t>
            </w:r>
          </w:p>
        </w:tc>
      </w:tr>
      <w:tr>
        <w:tblPrEx>
          <w:tblLayout w:type="fixed"/>
          <w:tblCellMar>
            <w:top w:w="0" w:type="dxa"/>
            <w:left w:w="0" w:type="dxa"/>
            <w:bottom w:w="0" w:type="dxa"/>
            <w:right w:w="0" w:type="dxa"/>
          </w:tblCellMar>
        </w:tblPrEx>
        <w:trPr>
          <w:jc w:val="center"/>
        </w:trPr>
        <w:tc>
          <w:tcPr>
            <w:tcW w:w="478" w:type="dxa"/>
            <w:vMerge w:val="restart"/>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w:t>
            </w:r>
          </w:p>
        </w:tc>
        <w:tc>
          <w:tcPr>
            <w:tcW w:w="1435" w:type="dxa"/>
            <w:vMerge w:val="restart"/>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研究开发服务</w:t>
            </w: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基础应用研究和试验发展服务</w:t>
            </w:r>
          </w:p>
        </w:tc>
        <w:tc>
          <w:tcPr>
            <w:tcW w:w="3093" w:type="dxa"/>
            <w:vMerge w:val="restart"/>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拥有市级以上认证的重点实验室、工程中心、公共技术平台的机构</w:t>
            </w:r>
          </w:p>
        </w:tc>
      </w:tr>
      <w:tr>
        <w:tblPrEx>
          <w:tblLayout w:type="fixed"/>
          <w:tblCellMar>
            <w:top w:w="0" w:type="dxa"/>
            <w:left w:w="0" w:type="dxa"/>
            <w:bottom w:w="0" w:type="dxa"/>
            <w:right w:w="0" w:type="dxa"/>
          </w:tblCellMar>
        </w:tblPrEx>
        <w:trPr>
          <w:jc w:val="center"/>
        </w:trPr>
        <w:tc>
          <w:tcPr>
            <w:tcW w:w="478" w:type="dxa"/>
            <w:vMerge w:val="continue"/>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rPr>
                <w:rFonts w:hint="eastAsia" w:ascii="宋体" w:hAnsi="宋体" w:cs="宋体"/>
                <w:color w:val="000000"/>
                <w:kern w:val="0"/>
                <w:sz w:val="22"/>
                <w:szCs w:val="22"/>
                <w:lang w:val="en-US" w:eastAsia="zh-CN" w:bidi="ar"/>
              </w:rPr>
            </w:pPr>
          </w:p>
        </w:tc>
        <w:tc>
          <w:tcPr>
            <w:tcW w:w="1435" w:type="dxa"/>
            <w:vMerge w:val="continue"/>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jc w:val="center"/>
              <w:rPr>
                <w:rFonts w:hint="eastAsia" w:ascii="宋体" w:hAnsi="宋体" w:cs="宋体"/>
                <w:color w:val="000000"/>
                <w:kern w:val="0"/>
                <w:sz w:val="22"/>
                <w:szCs w:val="22"/>
                <w:lang w:val="en-US" w:eastAsia="zh-CN" w:bidi="ar"/>
              </w:rPr>
            </w:pP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产业联盟协同创新服务</w:t>
            </w:r>
          </w:p>
        </w:tc>
        <w:tc>
          <w:tcPr>
            <w:tcW w:w="3093" w:type="dxa"/>
            <w:vMerge w:val="continue"/>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rPr>
                <w:rFonts w:hint="eastAsia" w:ascii="宋体" w:hAnsi="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jc w:val="center"/>
        </w:trPr>
        <w:tc>
          <w:tcPr>
            <w:tcW w:w="478" w:type="dxa"/>
            <w:vMerge w:val="continue"/>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rPr>
                <w:rFonts w:hint="eastAsia" w:ascii="宋体" w:hAnsi="宋体" w:cs="宋体"/>
                <w:color w:val="000000"/>
                <w:kern w:val="0"/>
                <w:sz w:val="22"/>
                <w:szCs w:val="22"/>
                <w:lang w:val="en-US" w:eastAsia="zh-CN" w:bidi="ar"/>
              </w:rPr>
            </w:pPr>
          </w:p>
        </w:tc>
        <w:tc>
          <w:tcPr>
            <w:tcW w:w="1435" w:type="dxa"/>
            <w:vMerge w:val="continue"/>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jc w:val="center"/>
              <w:rPr>
                <w:rFonts w:hint="eastAsia" w:ascii="宋体" w:hAnsi="宋体" w:cs="宋体"/>
                <w:color w:val="000000"/>
                <w:kern w:val="0"/>
                <w:sz w:val="22"/>
                <w:szCs w:val="22"/>
                <w:lang w:val="en-US" w:eastAsia="zh-CN" w:bidi="ar"/>
              </w:rPr>
            </w:pP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产品研发设计服务</w:t>
            </w:r>
          </w:p>
        </w:tc>
        <w:tc>
          <w:tcPr>
            <w:tcW w:w="3093" w:type="dxa"/>
            <w:vMerge w:val="continue"/>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rPr>
                <w:rFonts w:hint="eastAsia" w:ascii="宋体" w:hAnsi="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jc w:val="center"/>
        </w:trPr>
        <w:tc>
          <w:tcPr>
            <w:tcW w:w="478" w:type="dxa"/>
            <w:vMerge w:val="restart"/>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7</w:t>
            </w:r>
          </w:p>
        </w:tc>
        <w:tc>
          <w:tcPr>
            <w:tcW w:w="1435" w:type="dxa"/>
            <w:vMerge w:val="restart"/>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技术转移服务</w:t>
            </w: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科技成果转移转化服务</w:t>
            </w:r>
          </w:p>
        </w:tc>
        <w:tc>
          <w:tcPr>
            <w:tcW w:w="3093" w:type="dxa"/>
            <w:vMerge w:val="restart"/>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市级以上认定的技术转移机构</w:t>
            </w:r>
          </w:p>
        </w:tc>
      </w:tr>
      <w:tr>
        <w:tblPrEx>
          <w:tblLayout w:type="fixed"/>
          <w:tblCellMar>
            <w:top w:w="0" w:type="dxa"/>
            <w:left w:w="0" w:type="dxa"/>
            <w:bottom w:w="0" w:type="dxa"/>
            <w:right w:w="0" w:type="dxa"/>
          </w:tblCellMar>
        </w:tblPrEx>
        <w:trPr>
          <w:jc w:val="center"/>
        </w:trPr>
        <w:tc>
          <w:tcPr>
            <w:tcW w:w="478" w:type="dxa"/>
            <w:vMerge w:val="continue"/>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rPr>
                <w:rFonts w:hint="eastAsia" w:ascii="宋体" w:hAnsi="宋体" w:cs="宋体"/>
                <w:color w:val="000000"/>
                <w:kern w:val="0"/>
                <w:sz w:val="22"/>
                <w:szCs w:val="22"/>
                <w:lang w:val="en-US" w:eastAsia="zh-CN" w:bidi="ar"/>
              </w:rPr>
            </w:pPr>
          </w:p>
        </w:tc>
        <w:tc>
          <w:tcPr>
            <w:tcW w:w="1435" w:type="dxa"/>
            <w:vMerge w:val="continue"/>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jc w:val="center"/>
              <w:rPr>
                <w:rFonts w:hint="eastAsia" w:ascii="宋体" w:hAnsi="宋体" w:cs="宋体"/>
                <w:color w:val="000000"/>
                <w:kern w:val="0"/>
                <w:sz w:val="22"/>
                <w:szCs w:val="22"/>
                <w:lang w:val="en-US" w:eastAsia="zh-CN" w:bidi="ar"/>
              </w:rPr>
            </w:pP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企业技术转移集成服务</w:t>
            </w:r>
          </w:p>
        </w:tc>
        <w:tc>
          <w:tcPr>
            <w:tcW w:w="3093" w:type="dxa"/>
            <w:vMerge w:val="continue"/>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rPr>
                <w:rFonts w:hint="eastAsia" w:ascii="宋体" w:hAnsi="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jc w:val="center"/>
        </w:trPr>
        <w:tc>
          <w:tcPr>
            <w:tcW w:w="478" w:type="dxa"/>
            <w:vMerge w:val="continue"/>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rPr>
                <w:rFonts w:hint="eastAsia" w:ascii="宋体" w:hAnsi="宋体" w:cs="宋体"/>
                <w:color w:val="000000"/>
                <w:kern w:val="0"/>
                <w:sz w:val="22"/>
                <w:szCs w:val="22"/>
                <w:lang w:val="en-US" w:eastAsia="zh-CN" w:bidi="ar"/>
              </w:rPr>
            </w:pPr>
          </w:p>
        </w:tc>
        <w:tc>
          <w:tcPr>
            <w:tcW w:w="1435" w:type="dxa"/>
            <w:vMerge w:val="continue"/>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jc w:val="center"/>
              <w:rPr>
                <w:rFonts w:hint="eastAsia" w:ascii="宋体" w:hAnsi="宋体" w:cs="宋体"/>
                <w:color w:val="000000"/>
                <w:kern w:val="0"/>
                <w:sz w:val="22"/>
                <w:szCs w:val="22"/>
                <w:lang w:val="en-US" w:eastAsia="zh-CN" w:bidi="ar"/>
              </w:rPr>
            </w:pP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中试和技术熟化集成服务</w:t>
            </w:r>
          </w:p>
        </w:tc>
        <w:tc>
          <w:tcPr>
            <w:tcW w:w="3093" w:type="dxa"/>
            <w:vMerge w:val="continue"/>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rPr>
                <w:rFonts w:hint="eastAsia" w:ascii="宋体" w:hAnsi="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jc w:val="center"/>
        </w:trPr>
        <w:tc>
          <w:tcPr>
            <w:tcW w:w="478" w:type="dxa"/>
            <w:vMerge w:val="restart"/>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8</w:t>
            </w:r>
          </w:p>
        </w:tc>
        <w:tc>
          <w:tcPr>
            <w:tcW w:w="1435" w:type="dxa"/>
            <w:vMerge w:val="restart"/>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jc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检验检测认证服务</w:t>
            </w: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检验检测分析服务</w:t>
            </w:r>
          </w:p>
        </w:tc>
        <w:tc>
          <w:tcPr>
            <w:tcW w:w="3093" w:type="dxa"/>
            <w:vMerge w:val="restart"/>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拥有检验检测资质的机构</w:t>
            </w:r>
          </w:p>
        </w:tc>
      </w:tr>
      <w:tr>
        <w:tblPrEx>
          <w:tblLayout w:type="fixed"/>
          <w:tblCellMar>
            <w:top w:w="0" w:type="dxa"/>
            <w:left w:w="0" w:type="dxa"/>
            <w:bottom w:w="0" w:type="dxa"/>
            <w:right w:w="0" w:type="dxa"/>
          </w:tblCellMar>
        </w:tblPrEx>
        <w:trPr>
          <w:jc w:val="center"/>
        </w:trPr>
        <w:tc>
          <w:tcPr>
            <w:tcW w:w="478" w:type="dxa"/>
            <w:vMerge w:val="continue"/>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rPr>
                <w:rFonts w:hint="eastAsia" w:ascii="宋体" w:hAnsi="宋体" w:cs="宋体"/>
                <w:color w:val="000000"/>
                <w:kern w:val="0"/>
                <w:sz w:val="22"/>
                <w:szCs w:val="22"/>
                <w:lang w:val="en-US" w:eastAsia="zh-CN" w:bidi="ar"/>
              </w:rPr>
            </w:pPr>
          </w:p>
        </w:tc>
        <w:tc>
          <w:tcPr>
            <w:tcW w:w="1435" w:type="dxa"/>
            <w:vMerge w:val="continue"/>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jc w:val="center"/>
              <w:rPr>
                <w:rFonts w:hint="eastAsia" w:ascii="宋体" w:hAnsi="宋体" w:cs="宋体"/>
                <w:color w:val="000000"/>
                <w:kern w:val="0"/>
                <w:sz w:val="22"/>
                <w:szCs w:val="22"/>
                <w:lang w:val="en-US" w:eastAsia="zh-CN" w:bidi="ar"/>
              </w:rPr>
            </w:pP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检测结果国际互认服务</w:t>
            </w:r>
          </w:p>
        </w:tc>
        <w:tc>
          <w:tcPr>
            <w:tcW w:w="3093" w:type="dxa"/>
            <w:vMerge w:val="continue"/>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rPr>
                <w:rFonts w:hint="eastAsia" w:ascii="宋体" w:hAnsi="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jc w:val="center"/>
        </w:trPr>
        <w:tc>
          <w:tcPr>
            <w:tcW w:w="478" w:type="dxa"/>
            <w:vMerge w:val="continue"/>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rPr>
                <w:rFonts w:hint="eastAsia" w:ascii="宋体" w:hAnsi="宋体" w:cs="宋体"/>
                <w:color w:val="000000"/>
                <w:kern w:val="0"/>
                <w:sz w:val="22"/>
                <w:szCs w:val="22"/>
                <w:lang w:val="en-US" w:eastAsia="zh-CN" w:bidi="ar"/>
              </w:rPr>
            </w:pPr>
          </w:p>
        </w:tc>
        <w:tc>
          <w:tcPr>
            <w:tcW w:w="1435" w:type="dxa"/>
            <w:vMerge w:val="continue"/>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jc w:val="center"/>
              <w:rPr>
                <w:rFonts w:hint="eastAsia" w:ascii="宋体" w:hAnsi="宋体" w:cs="宋体"/>
                <w:color w:val="000000"/>
                <w:kern w:val="0"/>
                <w:sz w:val="22"/>
                <w:szCs w:val="22"/>
                <w:lang w:val="en-US" w:eastAsia="zh-CN" w:bidi="ar"/>
              </w:rPr>
            </w:pP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资质认证服务</w:t>
            </w:r>
          </w:p>
        </w:tc>
        <w:tc>
          <w:tcPr>
            <w:tcW w:w="3093"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拥有市级以上认证资质的机构</w:t>
            </w:r>
          </w:p>
        </w:tc>
      </w:tr>
      <w:tr>
        <w:tblPrEx>
          <w:tblLayout w:type="fixed"/>
          <w:tblCellMar>
            <w:top w:w="0" w:type="dxa"/>
            <w:left w:w="0" w:type="dxa"/>
            <w:bottom w:w="0" w:type="dxa"/>
            <w:right w:w="0" w:type="dxa"/>
          </w:tblCellMar>
        </w:tblPrEx>
        <w:trPr>
          <w:jc w:val="center"/>
        </w:trPr>
        <w:tc>
          <w:tcPr>
            <w:tcW w:w="478" w:type="dxa"/>
            <w:vMerge w:val="continue"/>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rPr>
                <w:rFonts w:hint="eastAsia" w:ascii="宋体" w:hAnsi="宋体" w:cs="宋体"/>
                <w:color w:val="000000"/>
                <w:kern w:val="0"/>
                <w:sz w:val="22"/>
                <w:szCs w:val="22"/>
                <w:lang w:val="en-US" w:eastAsia="zh-CN" w:bidi="ar"/>
              </w:rPr>
            </w:pPr>
          </w:p>
        </w:tc>
        <w:tc>
          <w:tcPr>
            <w:tcW w:w="1435" w:type="dxa"/>
            <w:vMerge w:val="continue"/>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jc w:val="center"/>
              <w:rPr>
                <w:rFonts w:hint="eastAsia" w:ascii="宋体" w:hAnsi="宋体" w:cs="宋体"/>
                <w:color w:val="000000"/>
                <w:kern w:val="0"/>
                <w:sz w:val="22"/>
                <w:szCs w:val="22"/>
                <w:lang w:val="en-US" w:eastAsia="zh-CN" w:bidi="ar"/>
              </w:rPr>
            </w:pP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知识产权检索分析服务</w:t>
            </w:r>
            <w:bookmarkStart w:id="0" w:name="_GoBack"/>
            <w:bookmarkEnd w:id="0"/>
          </w:p>
        </w:tc>
        <w:tc>
          <w:tcPr>
            <w:tcW w:w="3093"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rPr>
                <w:rFonts w:hint="eastAsia" w:ascii="宋体" w:hAnsi="宋体" w:cs="宋体"/>
                <w:color w:val="000000"/>
                <w:kern w:val="0"/>
                <w:sz w:val="22"/>
                <w:szCs w:val="22"/>
                <w:lang w:val="en-US" w:eastAsia="zh-CN" w:bidi="ar"/>
              </w:rPr>
            </w:pPr>
          </w:p>
        </w:tc>
      </w:tr>
      <w:tr>
        <w:tblPrEx>
          <w:tblLayout w:type="fixed"/>
          <w:tblCellMar>
            <w:top w:w="0" w:type="dxa"/>
            <w:left w:w="0" w:type="dxa"/>
            <w:bottom w:w="0" w:type="dxa"/>
            <w:right w:w="0" w:type="dxa"/>
          </w:tblCellMar>
        </w:tblPrEx>
        <w:trPr>
          <w:jc w:val="center"/>
        </w:trPr>
        <w:tc>
          <w:tcPr>
            <w:tcW w:w="478" w:type="dxa"/>
            <w:vMerge w:val="restart"/>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sz w:val="22"/>
                <w:lang w:eastAsia="zh-CN"/>
              </w:rPr>
            </w:pPr>
            <w:r>
              <w:rPr>
                <w:rFonts w:hint="eastAsia" w:ascii="宋体" w:hAnsi="宋体" w:cs="宋体"/>
                <w:color w:val="000000"/>
                <w:sz w:val="22"/>
                <w:lang w:val="en-US" w:eastAsia="zh-CN"/>
              </w:rPr>
              <w:t>9</w:t>
            </w:r>
          </w:p>
        </w:tc>
        <w:tc>
          <w:tcPr>
            <w:tcW w:w="1435" w:type="dxa"/>
            <w:vMerge w:val="restart"/>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jc w:val="center"/>
              <w:rPr>
                <w:rFonts w:hint="eastAsia" w:ascii="宋体" w:hAnsi="宋体" w:cs="宋体"/>
                <w:color w:val="000000"/>
                <w:sz w:val="22"/>
              </w:rPr>
            </w:pPr>
            <w:r>
              <w:rPr>
                <w:rFonts w:hint="eastAsia" w:ascii="宋体" w:hAnsi="宋体" w:cs="宋体"/>
                <w:color w:val="000000"/>
                <w:sz w:val="22"/>
              </w:rPr>
              <w:t>科技咨询服务</w:t>
            </w: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sz w:val="22"/>
              </w:rPr>
            </w:pPr>
            <w:r>
              <w:rPr>
                <w:rFonts w:hint="eastAsia" w:ascii="宋体" w:hAnsi="宋体" w:cs="宋体"/>
                <w:color w:val="000000"/>
                <w:sz w:val="22"/>
              </w:rPr>
              <w:t>科技查新服务</w:t>
            </w:r>
          </w:p>
        </w:tc>
        <w:tc>
          <w:tcPr>
            <w:tcW w:w="3093" w:type="dxa"/>
            <w:vMerge w:val="restart"/>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rFonts w:hint="eastAsia" w:ascii="宋体" w:hAnsi="宋体" w:cs="宋体"/>
                <w:color w:val="000000"/>
                <w:sz w:val="22"/>
              </w:rPr>
            </w:pPr>
            <w:r>
              <w:rPr>
                <w:rFonts w:hint="eastAsia" w:ascii="宋体" w:hAnsi="宋体" w:cs="宋体"/>
                <w:color w:val="000000"/>
                <w:sz w:val="22"/>
              </w:rPr>
              <w:t>拥有较高专业水平的咨询专家，且该专家为该服务机构的在职员工的机构（申请材料需提供专家简介、资质及在职证明）</w:t>
            </w:r>
          </w:p>
        </w:tc>
      </w:tr>
      <w:tr>
        <w:tblPrEx>
          <w:tblLayout w:type="fixed"/>
          <w:tblCellMar>
            <w:top w:w="0" w:type="dxa"/>
            <w:left w:w="0" w:type="dxa"/>
            <w:bottom w:w="0" w:type="dxa"/>
            <w:right w:w="0" w:type="dxa"/>
          </w:tblCellMar>
        </w:tblPrEx>
        <w:trPr>
          <w:jc w:val="center"/>
        </w:trPr>
        <w:tc>
          <w:tcPr>
            <w:tcW w:w="478" w:type="dxa"/>
            <w:vMerge w:val="continue"/>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rPr>
                <w:rFonts w:hint="eastAsia" w:ascii="宋体"/>
                <w:sz w:val="22"/>
              </w:rPr>
            </w:pPr>
          </w:p>
        </w:tc>
        <w:tc>
          <w:tcPr>
            <w:tcW w:w="1435" w:type="dxa"/>
            <w:vMerge w:val="continue"/>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rPr>
                <w:rFonts w:hint="eastAsia" w:ascii="宋体"/>
                <w:sz w:val="22"/>
              </w:rPr>
            </w:pP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sz w:val="22"/>
              </w:rPr>
            </w:pPr>
            <w:r>
              <w:rPr>
                <w:rFonts w:hint="eastAsia" w:ascii="宋体" w:hAnsi="宋体" w:cs="宋体"/>
                <w:color w:val="000000"/>
                <w:sz w:val="22"/>
              </w:rPr>
              <w:t>科技文献检索服务</w:t>
            </w:r>
          </w:p>
        </w:tc>
        <w:tc>
          <w:tcPr>
            <w:tcW w:w="3093" w:type="dxa"/>
            <w:vMerge w:val="continue"/>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rPr>
                <w:rFonts w:hint="eastAsia" w:ascii="宋体"/>
                <w:sz w:val="22"/>
              </w:rPr>
            </w:pPr>
          </w:p>
        </w:tc>
      </w:tr>
      <w:tr>
        <w:tblPrEx>
          <w:tblLayout w:type="fixed"/>
          <w:tblCellMar>
            <w:top w:w="0" w:type="dxa"/>
            <w:left w:w="0" w:type="dxa"/>
            <w:bottom w:w="0" w:type="dxa"/>
            <w:right w:w="0" w:type="dxa"/>
          </w:tblCellMar>
        </w:tblPrEx>
        <w:trPr>
          <w:jc w:val="center"/>
        </w:trPr>
        <w:tc>
          <w:tcPr>
            <w:tcW w:w="478" w:type="dxa"/>
            <w:vMerge w:val="continue"/>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rPr>
                <w:rFonts w:hint="eastAsia" w:ascii="宋体"/>
                <w:sz w:val="22"/>
              </w:rPr>
            </w:pPr>
          </w:p>
        </w:tc>
        <w:tc>
          <w:tcPr>
            <w:tcW w:w="1435" w:type="dxa"/>
            <w:vMerge w:val="continue"/>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rPr>
                <w:rFonts w:hint="eastAsia" w:ascii="宋体"/>
                <w:sz w:val="22"/>
              </w:rPr>
            </w:pPr>
          </w:p>
        </w:tc>
        <w:tc>
          <w:tcPr>
            <w:tcW w:w="2965"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pStyle w:val="6"/>
              <w:widowControl/>
              <w:spacing w:before="235" w:beforeAutospacing="0" w:after="235" w:afterAutospacing="0" w:line="240" w:lineRule="auto"/>
              <w:rPr>
                <w:sz w:val="22"/>
              </w:rPr>
            </w:pPr>
            <w:r>
              <w:rPr>
                <w:rFonts w:hint="eastAsia" w:ascii="宋体" w:hAnsi="宋体" w:cs="宋体"/>
                <w:color w:val="000000"/>
                <w:sz w:val="22"/>
              </w:rPr>
              <w:t>工程技术咨询服务</w:t>
            </w:r>
          </w:p>
        </w:tc>
        <w:tc>
          <w:tcPr>
            <w:tcW w:w="3093" w:type="dxa"/>
            <w:tcBorders>
              <w:top w:val="single" w:color="C6C9CD" w:sz="8" w:space="0"/>
              <w:left w:val="single" w:color="C6C9CD" w:sz="8" w:space="0"/>
              <w:bottom w:val="single" w:color="C6C9CD" w:sz="8" w:space="0"/>
              <w:right w:val="single" w:color="C6C9CD" w:sz="8" w:space="0"/>
            </w:tcBorders>
            <w:shd w:val="clear" w:color="auto" w:fill="FFFFFF"/>
            <w:noWrap w:val="0"/>
            <w:vAlign w:val="center"/>
          </w:tcPr>
          <w:p>
            <w:pPr>
              <w:spacing w:line="240" w:lineRule="auto"/>
              <w:rPr>
                <w:rFonts w:hint="eastAsia" w:ascii="宋体"/>
                <w:sz w:val="22"/>
              </w:rPr>
            </w:pPr>
          </w:p>
        </w:tc>
      </w:tr>
    </w:tbl>
    <w:tbl>
      <w:tblPr>
        <w:tblStyle w:val="8"/>
        <w:tblW w:w="8700" w:type="dxa"/>
        <w:tblInd w:w="0" w:type="dxa"/>
        <w:tblBorders>
          <w:top w:val="single" w:color="auto" w:sz="8" w:space="0"/>
          <w:left w:val="none" w:color="auto" w:sz="0" w:space="0"/>
          <w:bottom w:val="single" w:color="auto" w:sz="8" w:space="0"/>
          <w:right w:val="none" w:color="auto" w:sz="0" w:space="0"/>
          <w:insideH w:val="single" w:color="auto" w:sz="2" w:space="0"/>
          <w:insideV w:val="none" w:color="auto" w:sz="0" w:space="0"/>
        </w:tblBorders>
        <w:tblLayout w:type="fixed"/>
        <w:tblCellMar>
          <w:top w:w="0" w:type="dxa"/>
          <w:left w:w="0" w:type="dxa"/>
          <w:bottom w:w="0" w:type="dxa"/>
          <w:right w:w="0" w:type="dxa"/>
        </w:tblCellMar>
      </w:tblPr>
      <w:tblGrid>
        <w:gridCol w:w="4350"/>
        <w:gridCol w:w="4350"/>
      </w:tblGrid>
      <w:tr>
        <w:tblPrEx>
          <w:tblBorders>
            <w:top w:val="single" w:color="auto" w:sz="8" w:space="0"/>
            <w:left w:val="none" w:color="auto" w:sz="0" w:space="0"/>
            <w:bottom w:val="single" w:color="auto" w:sz="8" w:space="0"/>
            <w:right w:val="none" w:color="auto" w:sz="0" w:space="0"/>
            <w:insideH w:val="single" w:color="auto" w:sz="2" w:space="0"/>
            <w:insideV w:val="none" w:color="auto" w:sz="0" w:space="0"/>
          </w:tblBorders>
          <w:tblLayout w:type="fixed"/>
          <w:tblCellMar>
            <w:top w:w="0" w:type="dxa"/>
            <w:left w:w="0" w:type="dxa"/>
            <w:bottom w:w="0" w:type="dxa"/>
            <w:right w:w="0" w:type="dxa"/>
          </w:tblCellMar>
        </w:tblPrEx>
        <w:trPr>
          <w:trHeight w:val="621" w:hRule="atLeast"/>
        </w:trPr>
        <w:tc>
          <w:tcPr>
            <w:tcW w:w="8700" w:type="dxa"/>
            <w:gridSpan w:val="2"/>
          </w:tcPr>
          <w:p>
            <w:pPr>
              <w:ind w:left="1121" w:leftChars="134" w:right="281" w:rightChars="134" w:hanging="840" w:hangingChars="300"/>
              <w:rPr>
                <w:rFonts w:ascii="方正仿宋_GBK" w:eastAsia="方正仿宋_GBK"/>
                <w:sz w:val="28"/>
                <w:szCs w:val="28"/>
              </w:rPr>
            </w:pPr>
            <w:r>
              <w:rPr>
                <w:rFonts w:hint="eastAsia" w:ascii="方正仿宋_GBK" w:eastAsia="方正仿宋_GBK"/>
                <w:sz w:val="28"/>
                <w:szCs w:val="28"/>
              </w:rPr>
              <w:t>抄送：委领导。</w:t>
            </w:r>
          </w:p>
        </w:tc>
      </w:tr>
      <w:tr>
        <w:tblPrEx>
          <w:tblBorders>
            <w:top w:val="single" w:color="auto" w:sz="8" w:space="0"/>
            <w:left w:val="none" w:color="auto" w:sz="0" w:space="0"/>
            <w:bottom w:val="single" w:color="auto" w:sz="8" w:space="0"/>
            <w:right w:val="none" w:color="auto" w:sz="0" w:space="0"/>
            <w:insideH w:val="single" w:color="auto" w:sz="2" w:space="0"/>
            <w:insideV w:val="none" w:color="auto" w:sz="0" w:space="0"/>
          </w:tblBorders>
          <w:tblLayout w:type="fixed"/>
          <w:tblCellMar>
            <w:top w:w="0" w:type="dxa"/>
            <w:left w:w="0" w:type="dxa"/>
            <w:bottom w:w="0" w:type="dxa"/>
            <w:right w:w="0" w:type="dxa"/>
          </w:tblCellMar>
        </w:tblPrEx>
        <w:trPr>
          <w:trHeight w:val="626" w:hRule="atLeast"/>
        </w:trPr>
        <w:tc>
          <w:tcPr>
            <w:tcW w:w="4350" w:type="dxa"/>
          </w:tcPr>
          <w:p>
            <w:pPr>
              <w:ind w:left="281" w:leftChars="134"/>
              <w:rPr>
                <w:rFonts w:ascii="方正仿宋_GBK" w:eastAsia="方正仿宋_GBK"/>
                <w:sz w:val="28"/>
                <w:szCs w:val="28"/>
              </w:rPr>
            </w:pPr>
            <w:r>
              <w:rPr>
                <w:rFonts w:hint="eastAsia" w:ascii="方正仿宋_GBK" w:eastAsia="方正仿宋_GBK"/>
                <w:sz w:val="28"/>
                <w:szCs w:val="28"/>
              </w:rPr>
              <w:t>柳梧新区管委会办公室</w:t>
            </w:r>
          </w:p>
        </w:tc>
        <w:tc>
          <w:tcPr>
            <w:tcW w:w="4350" w:type="dxa"/>
          </w:tcPr>
          <w:p>
            <w:pPr>
              <w:ind w:right="281" w:rightChars="134"/>
              <w:jc w:val="right"/>
              <w:rPr>
                <w:rFonts w:ascii="方正仿宋_GBK" w:eastAsia="方正仿宋_GBK"/>
                <w:sz w:val="28"/>
                <w:szCs w:val="28"/>
              </w:rPr>
            </w:pPr>
            <w:r>
              <w:rPr>
                <w:rFonts w:hint="eastAsia" w:ascii="方正仿宋_GBK" w:eastAsia="方正仿宋_GBK"/>
                <w:sz w:val="28"/>
                <w:szCs w:val="28"/>
              </w:rPr>
              <w:t>2019年10月30日印发</w:t>
            </w:r>
          </w:p>
        </w:tc>
      </w:tr>
    </w:tbl>
    <w:p>
      <w:pPr>
        <w:spacing w:line="14" w:lineRule="exact"/>
        <w:rPr>
          <w:rFonts w:ascii="方正仿宋_GBK" w:eastAsia="方正仿宋_GBK"/>
          <w:sz w:val="32"/>
          <w:szCs w:val="32"/>
        </w:rPr>
      </w:pPr>
    </w:p>
    <w:sectPr>
      <w:footerReference r:id="rId3" w:type="default"/>
      <w:footerReference r:id="rId4" w:type="even"/>
      <w:pgSz w:w="11906" w:h="16838"/>
      <w:pgMar w:top="2098" w:right="1474" w:bottom="1588" w:left="158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578749"/>
      <w:docPartObj>
        <w:docPartGallery w:val="autotext"/>
      </w:docPartObj>
    </w:sdtPr>
    <w:sdtEndPr>
      <w:rPr>
        <w:rFonts w:ascii="宋体" w:hAnsi="宋体" w:eastAsia="宋体"/>
        <w:sz w:val="28"/>
        <w:szCs w:val="28"/>
      </w:rPr>
    </w:sdtEndPr>
    <w:sdtContent>
      <w:p>
        <w:pPr>
          <w:pStyle w:val="4"/>
          <w:wordWrap w:val="0"/>
          <w:jc w:val="right"/>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9</w:t>
        </w:r>
        <w:r>
          <w:rPr>
            <w:rFonts w:ascii="宋体" w:hAnsi="宋体" w:eastAsia="宋体"/>
            <w:sz w:val="28"/>
            <w:szCs w:val="28"/>
          </w:rPr>
          <w:fldChar w:fldCharType="end"/>
        </w:r>
        <w:r>
          <w:rPr>
            <w:rFonts w:ascii="宋体" w:hAnsi="宋体" w:eastAsia="宋体"/>
            <w:sz w:val="28"/>
            <w:szCs w:val="28"/>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ascii="宋体" w:hAnsi="宋体" w:eastAsia="宋体"/>
        <w:sz w:val="28"/>
        <w:szCs w:val="28"/>
      </w:rPr>
      <w:t>—</w:t>
    </w:r>
    <w:sdt>
      <w:sdtPr>
        <w:rPr>
          <w:rFonts w:ascii="宋体" w:hAnsi="宋体" w:eastAsia="宋体"/>
          <w:sz w:val="28"/>
          <w:szCs w:val="28"/>
        </w:rPr>
        <w:id w:val="1907876483"/>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10</w:t>
        </w:r>
        <w:r>
          <w:rPr>
            <w:rFonts w:ascii="宋体" w:hAnsi="宋体" w:eastAsia="宋体"/>
            <w:sz w:val="28"/>
            <w:szCs w:val="28"/>
          </w:rPr>
          <w:fldChar w:fldCharType="end"/>
        </w:r>
        <w:r>
          <w:rPr>
            <w:rFonts w:ascii="宋体" w:hAnsi="宋体" w:eastAsia="宋体"/>
            <w:sz w:val="28"/>
            <w:szCs w:val="28"/>
          </w:rPr>
          <w:t>—</w:t>
        </w:r>
      </w:sdtContent>
    </w:sdt>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B31"/>
    <w:rsid w:val="000017B8"/>
    <w:rsid w:val="00007989"/>
    <w:rsid w:val="0001082C"/>
    <w:rsid w:val="000155CD"/>
    <w:rsid w:val="0004730F"/>
    <w:rsid w:val="0006052D"/>
    <w:rsid w:val="000713AF"/>
    <w:rsid w:val="00083EF2"/>
    <w:rsid w:val="00084F32"/>
    <w:rsid w:val="00095631"/>
    <w:rsid w:val="000A5470"/>
    <w:rsid w:val="000C50A9"/>
    <w:rsid w:val="000C61EE"/>
    <w:rsid w:val="000E1321"/>
    <w:rsid w:val="000E42DD"/>
    <w:rsid w:val="000F0F07"/>
    <w:rsid w:val="001137E7"/>
    <w:rsid w:val="001264F9"/>
    <w:rsid w:val="00132686"/>
    <w:rsid w:val="0017396B"/>
    <w:rsid w:val="00182D5D"/>
    <w:rsid w:val="001A59FB"/>
    <w:rsid w:val="001A6AD4"/>
    <w:rsid w:val="001B5441"/>
    <w:rsid w:val="001C0B38"/>
    <w:rsid w:val="001D3C53"/>
    <w:rsid w:val="001D5F70"/>
    <w:rsid w:val="002024F6"/>
    <w:rsid w:val="0021283D"/>
    <w:rsid w:val="00214D15"/>
    <w:rsid w:val="0022587F"/>
    <w:rsid w:val="00230494"/>
    <w:rsid w:val="002409D4"/>
    <w:rsid w:val="00243C7F"/>
    <w:rsid w:val="00252D2F"/>
    <w:rsid w:val="00253201"/>
    <w:rsid w:val="00253345"/>
    <w:rsid w:val="002655B8"/>
    <w:rsid w:val="002733CF"/>
    <w:rsid w:val="002742F3"/>
    <w:rsid w:val="00297FEE"/>
    <w:rsid w:val="002A1CC0"/>
    <w:rsid w:val="002A1E80"/>
    <w:rsid w:val="002A6719"/>
    <w:rsid w:val="002A6779"/>
    <w:rsid w:val="002A7EC7"/>
    <w:rsid w:val="002C2542"/>
    <w:rsid w:val="002C28C4"/>
    <w:rsid w:val="002C5239"/>
    <w:rsid w:val="002C708F"/>
    <w:rsid w:val="002D3430"/>
    <w:rsid w:val="002F386A"/>
    <w:rsid w:val="00305EA7"/>
    <w:rsid w:val="003153C8"/>
    <w:rsid w:val="0033231F"/>
    <w:rsid w:val="00336A9C"/>
    <w:rsid w:val="00357E31"/>
    <w:rsid w:val="00361F77"/>
    <w:rsid w:val="00380D8D"/>
    <w:rsid w:val="003A1746"/>
    <w:rsid w:val="003B43B6"/>
    <w:rsid w:val="003B5021"/>
    <w:rsid w:val="003C318C"/>
    <w:rsid w:val="003D27A1"/>
    <w:rsid w:val="003D547C"/>
    <w:rsid w:val="003E0F9C"/>
    <w:rsid w:val="003E5CE2"/>
    <w:rsid w:val="003F5FA2"/>
    <w:rsid w:val="0042041A"/>
    <w:rsid w:val="00424D5C"/>
    <w:rsid w:val="00426C07"/>
    <w:rsid w:val="004326C5"/>
    <w:rsid w:val="00447FAA"/>
    <w:rsid w:val="00480336"/>
    <w:rsid w:val="00487416"/>
    <w:rsid w:val="0049348E"/>
    <w:rsid w:val="004A2F7D"/>
    <w:rsid w:val="004D2FAE"/>
    <w:rsid w:val="004E7582"/>
    <w:rsid w:val="004F3C6B"/>
    <w:rsid w:val="004F7866"/>
    <w:rsid w:val="0051051E"/>
    <w:rsid w:val="00513906"/>
    <w:rsid w:val="00520EB1"/>
    <w:rsid w:val="00533A57"/>
    <w:rsid w:val="00537DC6"/>
    <w:rsid w:val="005533A1"/>
    <w:rsid w:val="00556885"/>
    <w:rsid w:val="00556CA4"/>
    <w:rsid w:val="0056623A"/>
    <w:rsid w:val="00571BCD"/>
    <w:rsid w:val="005859A9"/>
    <w:rsid w:val="005A778F"/>
    <w:rsid w:val="005B253C"/>
    <w:rsid w:val="005E0FA8"/>
    <w:rsid w:val="005E7CBC"/>
    <w:rsid w:val="005F00DA"/>
    <w:rsid w:val="005F04A8"/>
    <w:rsid w:val="005F6B24"/>
    <w:rsid w:val="00601063"/>
    <w:rsid w:val="00612694"/>
    <w:rsid w:val="00632EC7"/>
    <w:rsid w:val="00651FE4"/>
    <w:rsid w:val="0067513E"/>
    <w:rsid w:val="0068424F"/>
    <w:rsid w:val="00692A88"/>
    <w:rsid w:val="00697EFC"/>
    <w:rsid w:val="006A3055"/>
    <w:rsid w:val="006C0AA4"/>
    <w:rsid w:val="006D0B07"/>
    <w:rsid w:val="006F2967"/>
    <w:rsid w:val="00704A5A"/>
    <w:rsid w:val="00723DEB"/>
    <w:rsid w:val="007373A9"/>
    <w:rsid w:val="00737993"/>
    <w:rsid w:val="00752184"/>
    <w:rsid w:val="00753108"/>
    <w:rsid w:val="00757A33"/>
    <w:rsid w:val="007602DB"/>
    <w:rsid w:val="007656FC"/>
    <w:rsid w:val="00765D8D"/>
    <w:rsid w:val="00773A02"/>
    <w:rsid w:val="00774831"/>
    <w:rsid w:val="0078430F"/>
    <w:rsid w:val="007A18C3"/>
    <w:rsid w:val="007A68C4"/>
    <w:rsid w:val="007B4BD0"/>
    <w:rsid w:val="007B705D"/>
    <w:rsid w:val="007B794A"/>
    <w:rsid w:val="007E163D"/>
    <w:rsid w:val="007E3681"/>
    <w:rsid w:val="007F1C75"/>
    <w:rsid w:val="008115B4"/>
    <w:rsid w:val="00820026"/>
    <w:rsid w:val="00823E2B"/>
    <w:rsid w:val="00833266"/>
    <w:rsid w:val="00847F5B"/>
    <w:rsid w:val="00861C06"/>
    <w:rsid w:val="0086309A"/>
    <w:rsid w:val="00864A4D"/>
    <w:rsid w:val="00864F95"/>
    <w:rsid w:val="008759B0"/>
    <w:rsid w:val="00883796"/>
    <w:rsid w:val="008932D7"/>
    <w:rsid w:val="008A081C"/>
    <w:rsid w:val="008A4192"/>
    <w:rsid w:val="008C409F"/>
    <w:rsid w:val="008C625D"/>
    <w:rsid w:val="008C658F"/>
    <w:rsid w:val="008C6D54"/>
    <w:rsid w:val="00915A02"/>
    <w:rsid w:val="00916692"/>
    <w:rsid w:val="00917184"/>
    <w:rsid w:val="00946F96"/>
    <w:rsid w:val="0095232D"/>
    <w:rsid w:val="00963958"/>
    <w:rsid w:val="00967303"/>
    <w:rsid w:val="00971901"/>
    <w:rsid w:val="00971FFD"/>
    <w:rsid w:val="009739A9"/>
    <w:rsid w:val="009746D7"/>
    <w:rsid w:val="00993C57"/>
    <w:rsid w:val="00995045"/>
    <w:rsid w:val="009A39B7"/>
    <w:rsid w:val="009A6DFF"/>
    <w:rsid w:val="009B2D15"/>
    <w:rsid w:val="009B4267"/>
    <w:rsid w:val="009C307B"/>
    <w:rsid w:val="009D566C"/>
    <w:rsid w:val="009F063D"/>
    <w:rsid w:val="00A025EE"/>
    <w:rsid w:val="00A80F3A"/>
    <w:rsid w:val="00A84CB8"/>
    <w:rsid w:val="00A979BB"/>
    <w:rsid w:val="00AA2370"/>
    <w:rsid w:val="00AA2FC2"/>
    <w:rsid w:val="00AB11F9"/>
    <w:rsid w:val="00AB1D6B"/>
    <w:rsid w:val="00AB427C"/>
    <w:rsid w:val="00AB6CD4"/>
    <w:rsid w:val="00AC6A06"/>
    <w:rsid w:val="00AE26E4"/>
    <w:rsid w:val="00AE7BF0"/>
    <w:rsid w:val="00AF044F"/>
    <w:rsid w:val="00B02293"/>
    <w:rsid w:val="00B5559C"/>
    <w:rsid w:val="00BA57A4"/>
    <w:rsid w:val="00BC02C0"/>
    <w:rsid w:val="00BC21BB"/>
    <w:rsid w:val="00BD264F"/>
    <w:rsid w:val="00BD4CC1"/>
    <w:rsid w:val="00BE71F3"/>
    <w:rsid w:val="00BF570E"/>
    <w:rsid w:val="00C106B4"/>
    <w:rsid w:val="00C31FE3"/>
    <w:rsid w:val="00C44EDE"/>
    <w:rsid w:val="00C5041A"/>
    <w:rsid w:val="00C6748F"/>
    <w:rsid w:val="00C746F9"/>
    <w:rsid w:val="00C8660C"/>
    <w:rsid w:val="00C918E9"/>
    <w:rsid w:val="00C920F4"/>
    <w:rsid w:val="00C974FD"/>
    <w:rsid w:val="00CA2FC9"/>
    <w:rsid w:val="00CA52F2"/>
    <w:rsid w:val="00CD0F76"/>
    <w:rsid w:val="00CF14E2"/>
    <w:rsid w:val="00CF3ADA"/>
    <w:rsid w:val="00D0693D"/>
    <w:rsid w:val="00D232C6"/>
    <w:rsid w:val="00D462B1"/>
    <w:rsid w:val="00D5446D"/>
    <w:rsid w:val="00D5572B"/>
    <w:rsid w:val="00D57E9A"/>
    <w:rsid w:val="00D603FA"/>
    <w:rsid w:val="00D63D30"/>
    <w:rsid w:val="00D7404D"/>
    <w:rsid w:val="00D83D97"/>
    <w:rsid w:val="00DA42FF"/>
    <w:rsid w:val="00DA784E"/>
    <w:rsid w:val="00DA7E65"/>
    <w:rsid w:val="00DD4AA4"/>
    <w:rsid w:val="00DE0894"/>
    <w:rsid w:val="00E07B5A"/>
    <w:rsid w:val="00E119E5"/>
    <w:rsid w:val="00E12288"/>
    <w:rsid w:val="00E23480"/>
    <w:rsid w:val="00E23BDB"/>
    <w:rsid w:val="00E33D55"/>
    <w:rsid w:val="00E41990"/>
    <w:rsid w:val="00E45658"/>
    <w:rsid w:val="00E4770F"/>
    <w:rsid w:val="00E53993"/>
    <w:rsid w:val="00E55F5D"/>
    <w:rsid w:val="00E66475"/>
    <w:rsid w:val="00E77EF1"/>
    <w:rsid w:val="00EA410F"/>
    <w:rsid w:val="00EC03FA"/>
    <w:rsid w:val="00EC15FB"/>
    <w:rsid w:val="00EC4C7C"/>
    <w:rsid w:val="00ED65A2"/>
    <w:rsid w:val="00EF5782"/>
    <w:rsid w:val="00F0367F"/>
    <w:rsid w:val="00F069F3"/>
    <w:rsid w:val="00F15F94"/>
    <w:rsid w:val="00F162A3"/>
    <w:rsid w:val="00F2067B"/>
    <w:rsid w:val="00F24478"/>
    <w:rsid w:val="00F248FC"/>
    <w:rsid w:val="00F46793"/>
    <w:rsid w:val="00F50170"/>
    <w:rsid w:val="00F53D20"/>
    <w:rsid w:val="00F56BB4"/>
    <w:rsid w:val="00F728A3"/>
    <w:rsid w:val="00F8053C"/>
    <w:rsid w:val="00F80B99"/>
    <w:rsid w:val="00F91641"/>
    <w:rsid w:val="00F94877"/>
    <w:rsid w:val="00FA4B31"/>
    <w:rsid w:val="00FE00C1"/>
    <w:rsid w:val="00FF0744"/>
    <w:rsid w:val="01ED116C"/>
    <w:rsid w:val="4131447A"/>
    <w:rsid w:val="6F9254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spacing w:before="100" w:beforeAutospacing="1" w:after="100" w:afterAutospacing="1"/>
      <w:jc w:val="left"/>
    </w:pPr>
    <w:rPr>
      <w:rFonts w:ascii="Calibri" w:hAnsi="Calibri" w:eastAsia="宋体"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basedOn w:val="9"/>
    <w:unhideWhenUsed/>
    <w:qFormat/>
    <w:uiPriority w:val="99"/>
    <w:rPr>
      <w:color w:val="0000FF"/>
      <w:u w:val="singl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日期 Char"/>
    <w:basedOn w:val="9"/>
    <w:link w:val="2"/>
    <w:semiHidden/>
    <w:qFormat/>
    <w:uiPriority w:val="99"/>
  </w:style>
  <w:style w:type="character" w:customStyle="1" w:styleId="14">
    <w:name w:val="批注框文本 Char"/>
    <w:basedOn w:val="9"/>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B2DDF8-BE8A-4B5F-BBF8-7111F46851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501</Words>
  <Characters>2860</Characters>
  <Lines>23</Lines>
  <Paragraphs>6</Paragraphs>
  <TotalTime>1</TotalTime>
  <ScaleCrop>false</ScaleCrop>
  <LinksUpToDate>false</LinksUpToDate>
  <CharactersWithSpaces>3355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2019-10-30T04:37:00Z</dcterms:created>
  <dc:creator>lenovo</dc:creator>
  <cp:lastModifiedBy>Administrator</cp:lastModifiedBy>
  <cp:lastPrinted>2019-11-18T07:44:00Z</cp:lastPrinted>
  <dcterms:modified xsi:type="dcterms:W3CDTF">2019-12-09T02:58:43Z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